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仿宋_GB2312" w:eastAsia="仿宋_GB2312"/>
          <w:color w:val="auto"/>
          <w:sz w:val="32"/>
          <w:szCs w:val="32"/>
          <w:lang w:val="en-US" w:eastAsia="zh-CN"/>
        </w:rPr>
      </w:pPr>
      <w:bookmarkStart w:id="5" w:name="_GoBack"/>
      <w:bookmarkEnd w:id="5"/>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spacing w:line="240" w:lineRule="auto"/>
        <w:ind w:firstLine="0" w:firstLineChars="0"/>
        <w:jc w:val="left"/>
        <w:rPr>
          <w:rFonts w:hint="eastAsia" w:ascii="仿宋_GB2312" w:eastAsia="仿宋_GB2312"/>
          <w:color w:val="auto"/>
          <w:sz w:val="32"/>
          <w:szCs w:val="32"/>
          <w:lang w:val="en-US" w:eastAsia="zh-CN"/>
        </w:rPr>
      </w:pPr>
    </w:p>
    <w:p>
      <w:pPr>
        <w:spacing w:line="62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天津市医疗机构中药制剂质量标准制定</w:t>
      </w:r>
    </w:p>
    <w:p>
      <w:pPr>
        <w:spacing w:line="62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技术指导原则</w:t>
      </w:r>
    </w:p>
    <w:p>
      <w:pPr>
        <w:jc w:val="center"/>
        <w:rPr>
          <w:rFonts w:ascii="仿宋_GB2312" w:eastAsia="仿宋_GB2312"/>
          <w:color w:val="auto"/>
          <w:sz w:val="32"/>
          <w:szCs w:val="32"/>
        </w:rPr>
      </w:pP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为加强我市医疗机构中药制剂的管理，规范其质量标准的制定，提升医疗机构中药制剂管理的科学性和规范性，现依据《医疗机构制剂注册管理办法》（试行）（局令第</w:t>
      </w:r>
      <w:r>
        <w:rPr>
          <w:rFonts w:hint="default" w:ascii="Times New Roman" w:hAnsi="Times New Roman" w:eastAsia="仿宋_GB2312" w:cs="Times New Roman"/>
          <w:color w:val="auto"/>
          <w:sz w:val="32"/>
          <w:szCs w:val="32"/>
        </w:rPr>
        <w:t>20</w:t>
      </w:r>
      <w:r>
        <w:rPr>
          <w:rFonts w:hint="eastAsia" w:ascii="仿宋_GB2312" w:eastAsia="仿宋_GB2312"/>
          <w:color w:val="auto"/>
          <w:sz w:val="32"/>
          <w:szCs w:val="32"/>
        </w:rPr>
        <w:t>号）、《天津市医疗机构制剂注册管理办法实施细则》（津药监规</w:t>
      </w:r>
      <w:r>
        <w:rPr>
          <w:rFonts w:hint="default" w:ascii="Times New Roman" w:hAnsi="Times New Roman" w:eastAsia="仿宋_GB2312" w:cs="Times New Roman"/>
          <w:color w:val="auto"/>
          <w:sz w:val="32"/>
          <w:szCs w:val="32"/>
        </w:rPr>
        <w:t>〔2024〕6</w:t>
      </w:r>
      <w:r>
        <w:rPr>
          <w:rFonts w:hint="eastAsia" w:ascii="仿宋_GB2312" w:eastAsia="仿宋_GB2312"/>
          <w:color w:val="auto"/>
          <w:sz w:val="32"/>
          <w:szCs w:val="32"/>
        </w:rPr>
        <w:t>号）、《天津市医疗机构应用传统工艺配制中药制剂备案管理实施细则》（津药监规</w:t>
      </w:r>
      <w:r>
        <w:rPr>
          <w:rFonts w:hint="default" w:ascii="Times New Roman" w:hAnsi="Times New Roman" w:eastAsia="仿宋_GB2312" w:cs="Times New Roman"/>
          <w:color w:val="auto"/>
          <w:sz w:val="32"/>
          <w:szCs w:val="32"/>
        </w:rPr>
        <w:t>〔2022〕1</w:t>
      </w:r>
      <w:r>
        <w:rPr>
          <w:rFonts w:hint="eastAsia" w:ascii="仿宋_GB2312" w:eastAsia="仿宋_GB2312"/>
          <w:color w:val="auto"/>
          <w:sz w:val="32"/>
          <w:szCs w:val="32"/>
        </w:rPr>
        <w:t>号）等有关要求，参照国家药品监督管理局颁布的相关技术指导原则和《中国药典》</w:t>
      </w:r>
      <w:r>
        <w:rPr>
          <w:rFonts w:hint="default" w:ascii="Times New Roman" w:hAnsi="Times New Roman" w:eastAsia="仿宋_GB2312" w:cs="Times New Roman"/>
          <w:color w:val="auto"/>
          <w:sz w:val="32"/>
          <w:szCs w:val="32"/>
        </w:rPr>
        <w:t>2025年</w:t>
      </w:r>
      <w:r>
        <w:rPr>
          <w:rFonts w:hint="eastAsia" w:ascii="仿宋_GB2312" w:eastAsia="仿宋_GB2312"/>
          <w:color w:val="auto"/>
          <w:sz w:val="32"/>
          <w:szCs w:val="32"/>
        </w:rPr>
        <w:t>版要求，制</w:t>
      </w:r>
      <w:r>
        <w:rPr>
          <w:rFonts w:hint="eastAsia" w:ascii="仿宋_GB2312" w:eastAsia="仿宋_GB2312"/>
          <w:color w:val="auto"/>
          <w:sz w:val="32"/>
          <w:szCs w:val="32"/>
          <w:lang w:eastAsia="zh-CN"/>
        </w:rPr>
        <w:t>定</w:t>
      </w:r>
      <w:r>
        <w:rPr>
          <w:rFonts w:hint="eastAsia" w:ascii="仿宋_GB2312" w:eastAsia="仿宋_GB2312"/>
          <w:color w:val="auto"/>
          <w:sz w:val="32"/>
          <w:szCs w:val="32"/>
        </w:rPr>
        <w:t>本技术指导原则。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指导原则中提出的要求代表当前阶段对相应中药制剂研究的基本认知和技术考量。医疗机构在具体研究中，应在满足法规强制性要求的前提下，结合制剂的具体特性，秉承科学精神，选择适宜的研究方法。本指导原则为试行版，将根据科学技术的进步和监管实践的发展适时修订。本指导原则适用于医疗机构进行中药制剂的质量研究，主要内容包括质量研究的基本原则和质量研究的主要内容。</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一、质量标准研究的基本原则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医疗机构中药制剂质量标准的建立，应遵循以下基本原则，以确保制剂质量的安全性、有效性及可控性，并保障标准的科学、规范与可行。</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（一）安全性原则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安全性是制剂研发的首要前提。质量标准必须能有效控制可能引入的安全风险。</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1.整体要求</w:t>
      </w:r>
      <w:r>
        <w:rPr>
          <w:rFonts w:hint="eastAsia"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申报医疗机构中药制剂必须以满足临床需要为目的，应当是市场上没有供应的品种。处方中的药味应符合现行版《中国药典》要求，或地方中药饮片炮制规范（申报传统工艺备案事项，仅为天津市中药饮片炮制规范）的内容。若申报注册事项涉及外购提取物的，除提供提取物的制备方法和质量标准外，还应提供其来源的相关证明性文件；实施药品批准文号管理的中药饮片或提取物，必须具有药品批准文号，并提供其批准证明文件和质量标准。辅料、添加剂、防腐剂亦应有相应的标准。</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2.处方与工艺安全</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医疗机构中药制剂不得涉及中药注射剂、中药与化学药组成的复方制剂、麻醉药品、精神药品、医疗用毒性药品、放射性药品等。处方、工艺及原辅料来源应固定，以确保制剂质量稳定与临床使用安全。</w:t>
      </w:r>
    </w:p>
    <w:p>
      <w:pPr>
        <w:spacing w:line="560" w:lineRule="exact"/>
        <w:ind w:firstLine="643" w:firstLineChars="200"/>
        <w:rPr>
          <w:rFonts w:ascii="仿宋_GB2312" w:hAnsi="宋体" w:eastAsia="仿宋_GB2312"/>
          <w:color w:val="auto"/>
          <w:sz w:val="32"/>
          <w:szCs w:val="32"/>
        </w:rPr>
      </w:pPr>
      <w:r>
        <w:rPr>
          <w:rFonts w:hint="default" w:ascii="Times New Roman" w:hAnsi="Times New Roman" w:eastAsia="仿宋_GB2312" w:cs="Times New Roman"/>
          <w:b/>
          <w:bCs/>
          <w:color w:val="auto"/>
          <w:sz w:val="32"/>
          <w:szCs w:val="32"/>
        </w:rPr>
        <w:t>3.毒性药材控制</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处方中若含有毒性药材（系指历版中国药典，部颁标准，进口药材标准，省、自治区、直辖市的中药材标准中标注为大毒（或剧毒）和有毒的药材），应针对其毒性成分建立专属性的限量检查方法，并规定合理的限度。</w:t>
      </w:r>
      <w:r>
        <w:rPr>
          <w:rFonts w:hint="eastAsia" w:ascii="仿宋_GB2312" w:hAnsi="宋体" w:eastAsia="仿宋_GB2312"/>
          <w:color w:val="auto"/>
          <w:sz w:val="32"/>
          <w:szCs w:val="32"/>
        </w:rPr>
        <w:t>毒性药材的日用量应根据处方量和制成总量、用量等进行计算，且不得超过法定标准规定。</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4.外源性污染物控制</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应根据药材来源及制剂工艺特点，对可能存在的农药残留、重金属及有害元素、真菌毒素等外源性污染物进行研究。必要时，应建立相应的检测方法和限度标准。</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（二）科学性原则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质量标准应能客观、真实地反映产品的内在质量，所采用的方法和技术应具有充分的科学依据。</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1.指标关联性</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质控指标的选择应优先与制剂的安全性和有效性相关联，首选君药、贵细药、毒性药中的有效成分、指标成分或毒性成分等。鼓励建立多成分含量测定或指纹/特征图谱等能反映中药整体质量的控制方法。</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2.方法先进性</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在满足专属性、灵敏度和准确度的前提下，鼓励采用现代分析技术。检测方法必须经过完整的方法学验证，证明其适用于样品的检测要求，通常要有方法选择的依据，包括但不限于文献依据、理论依据或实验研究依据等；鉴别项应首选专属性强的方法；含量测定应按现行版《中国药典》通用技术要求“分析方法验证指导原则”进行验证。</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3.数据充分性</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质量研究必须在处方、工艺确定，中试规模以上样品制备成功的基础上，并结合多批生产数据的积累，进行科学的统计分析，使限度规定既能保障质量，又符合生产实际。标准中各项目的设置与方法建立，应有充分的文献、理论和实验研究依据。</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（三）规范性原则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质量标准的制定应遵循国家药品标准的通用规范，确保标准的统一、严谨和规范。</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1.药典遵循</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质量标准的体例、格式、术语、计量单位、符号等必须符合</w:t>
      </w:r>
      <w:bookmarkStart w:id="0" w:name="OLE_LINK2"/>
      <w:bookmarkStart w:id="1" w:name="OLE_LINK3"/>
      <w:r>
        <w:rPr>
          <w:rFonts w:hint="eastAsia" w:ascii="仿宋_GB2312" w:eastAsia="仿宋_GB2312"/>
          <w:color w:val="auto"/>
          <w:sz w:val="32"/>
          <w:szCs w:val="32"/>
        </w:rPr>
        <w:t>现行版</w:t>
      </w:r>
      <w:bookmarkEnd w:id="0"/>
      <w:bookmarkEnd w:id="1"/>
      <w:r>
        <w:rPr>
          <w:rFonts w:hint="eastAsia" w:ascii="仿宋_GB2312" w:eastAsia="仿宋_GB2312"/>
          <w:color w:val="auto"/>
          <w:sz w:val="32"/>
          <w:szCs w:val="32"/>
        </w:rPr>
        <w:t>《中国药典》的通用技术要求。常规检查项目应优先采用现行版《中国药典》收载的方法。</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2.用语准确</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质量标准正文的文字表述应准确、严谨、简明，避免产生歧义。结果判断应明确、客观，不含模糊性表述。</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3.物质规范</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检测所用对照品、对照药材、对照提取物应优先使用国家法定机构提供的标准物质，并在申报资料中注明其来源、批号等信息。</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4.试剂与溶液规范</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检测方法中所用试液、缓冲液、滴定液等应尽可能采用现行版《中国药典》已收载的品种和浓度，不得任意更改。若需自行配制，应在标准正文中注明方法。</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（四）实用性原则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质量标准在确保有效控制质量的前提下，应考虑医疗机构的检测条件，力求简便、经济、可行。</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1.方法可行</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建立的检测方法应具有良好的重现性和可操作性，避免使用对环境不友好的试剂与设备。在保证数据准确性的前提下，倡导绿色低碳的标准发展理念，提倡使用低成本、低能耗、低排放、高效便捷的检测方法。</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2.限度合理</w:t>
      </w:r>
      <w:r>
        <w:rPr>
          <w:rFonts w:hint="default" w:ascii="Times New Roman" w:hAnsi="Times New Roman" w:eastAsia="仿宋_GB2312" w:cs="Times New Roman"/>
          <w:b/>
          <w:bCs/>
          <w:color w:val="auto"/>
          <w:sz w:val="32"/>
          <w:szCs w:val="32"/>
          <w:lang w:eastAsia="zh-CN"/>
        </w:rPr>
        <w:t>。</w:t>
      </w:r>
      <w:r>
        <w:rPr>
          <w:rFonts w:hint="eastAsia" w:ascii="仿宋_GB2312" w:eastAsia="仿宋_GB2312"/>
          <w:color w:val="auto"/>
          <w:sz w:val="32"/>
          <w:szCs w:val="32"/>
        </w:rPr>
        <w:t>各项指标的限度规定应切合实际，既能反映制剂在配制、贮藏和使用过程中必须达到的基本要求，又能充分地反映产品的特性及质量变化的情况。</w:t>
      </w:r>
    </w:p>
    <w:p>
      <w:pPr>
        <w:spacing w:line="560" w:lineRule="exact"/>
        <w:ind w:firstLine="643" w:firstLineChars="200"/>
        <w:rPr>
          <w:rFonts w:ascii="仿宋_GB2312" w:eastAsia="仿宋_GB2312"/>
          <w:color w:val="auto"/>
          <w:sz w:val="32"/>
          <w:szCs w:val="32"/>
        </w:rPr>
      </w:pPr>
      <w:r>
        <w:rPr>
          <w:rFonts w:hint="default" w:ascii="Times New Roman" w:hAnsi="Times New Roman" w:eastAsia="仿宋_GB2312" w:cs="Times New Roman"/>
          <w:b/>
          <w:bCs/>
          <w:color w:val="auto"/>
          <w:sz w:val="32"/>
          <w:szCs w:val="32"/>
        </w:rPr>
        <w:t>3.质量可控</w:t>
      </w:r>
      <w:r>
        <w:rPr>
          <w:rFonts w:hint="default" w:ascii="Times New Roman" w:hAnsi="Times New Roman" w:eastAsia="仿宋_GB2312" w:cs="Times New Roman"/>
          <w:b/>
          <w:bCs/>
          <w:color w:val="auto"/>
          <w:sz w:val="32"/>
          <w:szCs w:val="32"/>
          <w:lang w:eastAsia="zh-CN"/>
        </w:rPr>
        <w:t>。</w:t>
      </w:r>
      <w:r>
        <w:rPr>
          <w:rFonts w:ascii="仿宋_GB2312" w:eastAsia="仿宋_GB2312"/>
          <w:color w:val="auto"/>
          <w:sz w:val="32"/>
          <w:szCs w:val="32"/>
        </w:rPr>
        <w:t>中药</w:t>
      </w:r>
      <w:r>
        <w:rPr>
          <w:rFonts w:hint="eastAsia" w:ascii="仿宋_GB2312" w:eastAsia="仿宋_GB2312"/>
          <w:color w:val="auto"/>
          <w:sz w:val="32"/>
          <w:szCs w:val="32"/>
        </w:rPr>
        <w:t>制剂</w:t>
      </w:r>
      <w:r>
        <w:rPr>
          <w:rFonts w:ascii="仿宋_GB2312" w:eastAsia="仿宋_GB2312"/>
          <w:color w:val="auto"/>
          <w:sz w:val="32"/>
          <w:szCs w:val="32"/>
        </w:rPr>
        <w:t>质量标准应能指导中药制剂配制、控制中药制剂质量，以保证中药制剂的安全性、有效性和</w:t>
      </w:r>
      <w:r>
        <w:rPr>
          <w:rFonts w:hint="eastAsia" w:ascii="仿宋_GB2312" w:eastAsia="仿宋_GB2312"/>
          <w:color w:val="auto"/>
          <w:sz w:val="32"/>
          <w:szCs w:val="32"/>
        </w:rPr>
        <w:t>质量</w:t>
      </w:r>
      <w:r>
        <w:rPr>
          <w:rFonts w:ascii="仿宋_GB2312" w:eastAsia="仿宋_GB2312"/>
          <w:color w:val="auto"/>
          <w:sz w:val="32"/>
          <w:szCs w:val="32"/>
        </w:rPr>
        <w:t>均一性。</w:t>
      </w:r>
      <w:r>
        <w:rPr>
          <w:rFonts w:hint="eastAsia" w:ascii="仿宋_GB2312" w:eastAsia="仿宋_GB2312"/>
          <w:color w:val="auto"/>
          <w:sz w:val="32"/>
          <w:szCs w:val="32"/>
        </w:rPr>
        <w:t>质量研究内容应尽可能全面，既要考虑一般性要求，又要考虑针对性要求；</w:t>
      </w:r>
      <w:r>
        <w:rPr>
          <w:rFonts w:ascii="仿宋_GB2312" w:eastAsia="仿宋_GB2312"/>
          <w:color w:val="auto"/>
          <w:sz w:val="32"/>
          <w:szCs w:val="32"/>
        </w:rPr>
        <w:t>应优先考虑</w:t>
      </w:r>
      <w:r>
        <w:rPr>
          <w:rFonts w:hint="eastAsia" w:ascii="仿宋_GB2312" w:eastAsia="仿宋_GB2312"/>
          <w:color w:val="auto"/>
          <w:sz w:val="32"/>
          <w:szCs w:val="32"/>
        </w:rPr>
        <w:t>制剂</w:t>
      </w:r>
      <w:r>
        <w:rPr>
          <w:rFonts w:ascii="仿宋_GB2312" w:eastAsia="仿宋_GB2312"/>
          <w:color w:val="auto"/>
          <w:sz w:val="32"/>
          <w:szCs w:val="32"/>
        </w:rPr>
        <w:t>的安全性和有效性。将合理的质控指标、科学的质控方法、适度的质控要求结合起来，从整体上、多角度较全面地反映中药</w:t>
      </w:r>
      <w:r>
        <w:rPr>
          <w:rFonts w:hint="eastAsia" w:ascii="仿宋_GB2312" w:eastAsia="仿宋_GB2312"/>
          <w:color w:val="auto"/>
          <w:sz w:val="32"/>
          <w:szCs w:val="32"/>
        </w:rPr>
        <w:t>制剂</w:t>
      </w:r>
      <w:r>
        <w:rPr>
          <w:rFonts w:ascii="仿宋_GB2312" w:eastAsia="仿宋_GB2312"/>
          <w:color w:val="auto"/>
          <w:sz w:val="32"/>
          <w:szCs w:val="32"/>
        </w:rPr>
        <w:t>的质量。</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二、质量研究的主要内容</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（一）质量研究用样品</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医疗机构中药制剂质量研究必须在处方确定、理化性质研究基本明确、原辅料来源明确、制备工艺稳定的基础上进行，提交申请时，质量研究至少要涵盖连续</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批中试以上规模样品的研究。</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（二）质量研究的一般内容</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质量研究通常应结合医疗机构中药制剂的处方工艺研究及不同剂型的质量要求进行。最终确定的质量标准的各项指标应以样品进行非临床和临床试验的研究数据为依据，结合多批中试以上规模样品的数据积累制定。中药复方制剂所含成分复杂，应在质量标准中建立多种方法的质控项目，如性状、鉴别、检查、浸出物、指纹/特征图谱、多个单一成分或大类成分的含量测定等。如有自行提取的提取物，应在制剂质量标准后附其质量标准，质控项目包括性状、鉴别、检查、指纹/特征图谱、含量测定等。</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1.性状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制剂的性状是考察样品的外形、颜色和</w:t>
      </w:r>
      <w:r>
        <w:rPr>
          <w:rFonts w:hint="eastAsia" w:ascii="仿宋_GB2312" w:eastAsia="仿宋_GB2312"/>
          <w:color w:val="auto"/>
          <w:sz w:val="32"/>
          <w:szCs w:val="32"/>
          <w:lang w:eastAsia="zh-CN"/>
        </w:rPr>
        <w:t>气</w:t>
      </w:r>
      <w:r>
        <w:rPr>
          <w:rFonts w:hint="eastAsia" w:ascii="仿宋_GB2312" w:eastAsia="仿宋_GB2312"/>
          <w:color w:val="auto"/>
          <w:sz w:val="32"/>
          <w:szCs w:val="32"/>
        </w:rPr>
        <w:t>味，应根据至少</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批中试以上规模样品结果并结合稳定性试验结果确定。先描述制剂的剂型或形态，再依次书写制剂的颜色、形态、嗅、味及其特异性或变化状况。具体可参照现行版《中国药典》制定，如：片剂或丸剂有包衣的应包括去除包衣后对片芯或丸芯的描述；胶囊剂应除去囊壳后就内容物进行描述。具毒性的中药</w:t>
      </w:r>
      <w:bookmarkStart w:id="2" w:name="OLE_LINK14"/>
      <w:bookmarkStart w:id="3" w:name="OLE_LINK13"/>
      <w:r>
        <w:rPr>
          <w:rFonts w:hint="eastAsia" w:ascii="仿宋_GB2312" w:eastAsia="仿宋_GB2312"/>
          <w:color w:val="auto"/>
          <w:sz w:val="32"/>
          <w:szCs w:val="32"/>
        </w:rPr>
        <w:t>制剂</w:t>
      </w:r>
      <w:bookmarkEnd w:id="2"/>
      <w:bookmarkEnd w:id="3"/>
      <w:r>
        <w:rPr>
          <w:rFonts w:hint="eastAsia" w:ascii="仿宋_GB2312" w:eastAsia="仿宋_GB2312"/>
          <w:color w:val="auto"/>
          <w:sz w:val="32"/>
          <w:szCs w:val="32"/>
        </w:rPr>
        <w:t>、外用制剂一般不描述味觉。色泽的描述可规定一定的范围。复合色的描述应为辅色在前，主色在后，如黄棕色，以棕色为主。</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2.鉴别</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鉴别应能区分可能共存的物质或结构相似的化合物。</w:t>
      </w:r>
    </w:p>
    <w:p>
      <w:pPr>
        <w:adjustRightInd w:val="0"/>
        <w:snapToGrid w:val="0"/>
        <w:spacing w:line="560" w:lineRule="exact"/>
        <w:ind w:firstLine="640" w:firstLineChars="200"/>
        <w:rPr>
          <w:rFonts w:ascii="仿宋_GB2312" w:hAnsi="宋体"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仿宋_GB2312" w:hAnsi="宋体" w:eastAsia="仿宋_GB2312" w:cs="Times New Roman"/>
          <w:color w:val="auto"/>
          <w:sz w:val="32"/>
          <w:szCs w:val="32"/>
        </w:rPr>
        <w:t>可根据处方构成及研究资料确定建立对应</w:t>
      </w:r>
      <w:r>
        <w:rPr>
          <w:rFonts w:hint="eastAsia" w:ascii="仿宋_GB2312" w:hAnsi="Times New Roman" w:eastAsia="仿宋_GB2312" w:cs="Times New Roman"/>
          <w:color w:val="auto"/>
          <w:sz w:val="32"/>
          <w:szCs w:val="32"/>
        </w:rPr>
        <w:t>的</w:t>
      </w:r>
      <w:r>
        <w:rPr>
          <w:rFonts w:hint="eastAsia" w:ascii="仿宋_GB2312" w:hAnsi="宋体" w:eastAsia="仿宋_GB2312" w:cs="Times New Roman"/>
          <w:color w:val="auto"/>
          <w:sz w:val="32"/>
          <w:szCs w:val="32"/>
        </w:rPr>
        <w:t>鉴别项目，原则上处方各药味均应进行试验研究，根据试验情况，选择列入质量标准中。首选君药、贵细药、毒性药。因鉴别特性不明显，或处方中用量较小而不能检出者应予阐明，再选其他药味鉴别。重现性好确能反应组方药味特性</w:t>
      </w:r>
      <w:r>
        <w:rPr>
          <w:rFonts w:hint="eastAsia" w:ascii="仿宋_GB2312" w:hAnsi="Times New Roman" w:eastAsia="仿宋_GB2312" w:cs="Times New Roman"/>
          <w:color w:val="auto"/>
          <w:sz w:val="32"/>
          <w:szCs w:val="32"/>
        </w:rPr>
        <w:t>的特征</w:t>
      </w:r>
      <w:r>
        <w:rPr>
          <w:rFonts w:hint="eastAsia" w:ascii="仿宋_GB2312" w:hAnsi="宋体" w:eastAsia="仿宋_GB2312" w:cs="Times New Roman"/>
          <w:color w:val="auto"/>
          <w:sz w:val="32"/>
          <w:szCs w:val="32"/>
        </w:rPr>
        <w:t>色谱或指纹图谱鉴别也可选用。</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制剂中若有直接入药的生药粉，一般应建立显微鉴别方法。</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化学反应鉴别法一般适用于制剂中含有矿物类药味以及有类似结构特征的大类化学成分的鉴别，包括显色反应、沉淀反应、盐类的离子反应等。</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色谱法一般为首选方法，主要包括薄层色谱法、气相色谱法、高效液相色谱法等。可采用薄层色谱法的比移值和显色特征（特征斑点的个数、颜色、紫外吸收/荧光显色等特征），气相色谱法、高效液相色谱法的保留时间等进行鉴别。</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光谱法主要包括红外吸收光谱法和紫外-可见吸收光谱法。紫外-可见吸收光谱法应规定在指定溶剂中的最大吸收波长，必要时规定最小吸收波长；或规定几个最大吸收波长处的吸光度比值，或特定波长处的吸光度。</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若处方中含有动物来源的药味并且在制剂中仅其蛋白质、多肽等生物大分子成份具备识别特征，应研究建立相应的特异性检验检测方法。</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3.检查</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各种制剂需进行的检查项目，除应符合现行版《中国药典》四部制剂通则的相应规定外，还应根据剂型特点及临床用药需要建立反映制剂特性的检查方法。</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处方中含有国务院《医疗用毒性药品管理办法》（</w:t>
      </w:r>
      <w:r>
        <w:rPr>
          <w:rFonts w:hint="default" w:ascii="Times New Roman" w:hAnsi="Times New Roman" w:eastAsia="仿宋_GB2312" w:cs="Times New Roman"/>
          <w:color w:val="auto"/>
          <w:sz w:val="32"/>
          <w:szCs w:val="32"/>
        </w:rPr>
        <w:t>1988</w:t>
      </w:r>
      <w:r>
        <w:rPr>
          <w:rFonts w:hint="eastAsia" w:ascii="仿宋_GB2312" w:eastAsia="仿宋_GB2312"/>
          <w:color w:val="auto"/>
          <w:sz w:val="32"/>
          <w:szCs w:val="32"/>
        </w:rPr>
        <w:t>年）颁布的</w:t>
      </w:r>
      <w:r>
        <w:rPr>
          <w:rFonts w:hint="default" w:ascii="Times New Roman" w:hAnsi="Times New Roman" w:eastAsia="仿宋_GB2312" w:cs="Times New Roman"/>
          <w:color w:val="auto"/>
          <w:sz w:val="32"/>
          <w:szCs w:val="32"/>
        </w:rPr>
        <w:t>28</w:t>
      </w:r>
      <w:r>
        <w:rPr>
          <w:rFonts w:hint="eastAsia" w:ascii="仿宋_GB2312" w:eastAsia="仿宋_GB2312"/>
          <w:color w:val="auto"/>
          <w:sz w:val="32"/>
          <w:szCs w:val="32"/>
        </w:rPr>
        <w:t>种毒性药材和各版《中国药典》、部颁标准、进口药材标准、地方药材标准中标注为大毒（或剧毒）的饮片，应针对该药味建立有关毒性成份的限量检查方法，其限度可根据相应的毒理学或文献研究资料合理制定。</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若处方中含有易被农药、生物毒素、重金属及有害元素污染的</w:t>
      </w:r>
      <w:bookmarkStart w:id="4" w:name="OLE_LINK1"/>
      <w:r>
        <w:rPr>
          <w:rFonts w:hint="eastAsia" w:ascii="仿宋_GB2312" w:eastAsia="仿宋_GB2312"/>
          <w:color w:val="auto"/>
          <w:sz w:val="32"/>
          <w:szCs w:val="32"/>
        </w:rPr>
        <w:t>中药饮片</w:t>
      </w:r>
      <w:bookmarkEnd w:id="4"/>
      <w:r>
        <w:rPr>
          <w:rFonts w:hint="eastAsia" w:ascii="仿宋_GB2312" w:eastAsia="仿宋_GB2312"/>
          <w:color w:val="auto"/>
          <w:sz w:val="32"/>
          <w:szCs w:val="32"/>
        </w:rPr>
        <w:t>，制剂质量标准中应根据品种情况，研究建立相关的检测方法和限度。若在中药饮片质量标准中已经建立了相关的检查项并加以控制，在制剂质量标准中一般不再要求。</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含矿物类饮片的制剂，应进行重金属、砷盐检查，并详细说明限度确定的依据。</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制剂应参照现行版《中国药典》四部制剂通则具体剂型项下要求，进行无菌检查或微生物限度检查，检查方法纳入质量标准正文。</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4.浸出物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浸出物的检测方法可根据制剂所含主要成份的理化性质选择适宜的溶剂（不限于一种），基于不同的溶剂可将浸出物分为水溶性浸出物、醇溶性浸出物、乙酸乙酯浸出物及醚浸出物等。</w:t>
      </w:r>
    </w:p>
    <w:p>
      <w:pPr>
        <w:spacing w:line="560" w:lineRule="exact"/>
        <w:ind w:firstLine="643"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bCs/>
          <w:color w:val="auto"/>
          <w:sz w:val="32"/>
          <w:szCs w:val="32"/>
        </w:rPr>
        <w:t>5.指纹/特征图谱</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鼓励有条件的医疗机构进行指纹/特征图谱研究并建立相应的标准。内容一般包括建立分析方法、色谱峰的指认、建立对照图谱、数据分析与评价等过程。</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6.含量测定</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应研究并建立尽可能多的处方药味的含量测定方法，应首选与制剂安全性、有效性相关联的化学成分，一般优先选择有效/活性成分、毒性成分、君药所含指标成分等为含量测定指标。</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若制法中包含多条工艺路线，应针对每条工艺路线研究建立相关有效/活性成分或指标成分的含量测定方法；如有提取挥发油的工艺，应进行挥发油总量或相应指标成份的含量测定方法研究，视情况列入标准；含热敏感成分的，建立其含量测定方法可反映配制过程中物料的受热程度及稳定性；活性成分含量低于</w:t>
      </w:r>
      <w:r>
        <w:rPr>
          <w:rFonts w:hint="default" w:ascii="Times New Roman" w:hAnsi="Times New Roman" w:eastAsia="仿宋_GB2312" w:cs="Times New Roman"/>
          <w:color w:val="auto"/>
          <w:sz w:val="32"/>
          <w:szCs w:val="32"/>
        </w:rPr>
        <w:t>0.02%</w:t>
      </w:r>
      <w:r>
        <w:rPr>
          <w:rFonts w:hint="eastAsia" w:ascii="仿宋_GB2312" w:eastAsia="仿宋_GB2312"/>
          <w:color w:val="auto"/>
          <w:sz w:val="32"/>
          <w:szCs w:val="32"/>
        </w:rPr>
        <w:t>，应增加有效组分的含量测定，如总黄酮、总生物碱、总皂苷等。一般应选择样品中原型成份作为含量测定指标，避免选择水解、降解等产物或无专属性的指标成份及微量成份作为指标。</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含量限度指标应参考相关药材或饮片标准，并建议根据多批以上样品（其中中试以上规模至少</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批）的实测数据制定，如检测方法与药典规定不同的或药典药材中无相应含量测定项的应提供至少</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批以上的原料药材含量数据，以便计算转移率。原粉入药的转移率一般要求在</w:t>
      </w:r>
      <w:r>
        <w:rPr>
          <w:rFonts w:hint="default" w:ascii="Times New Roman" w:hAnsi="Times New Roman" w:eastAsia="仿宋_GB2312" w:cs="Times New Roman"/>
          <w:color w:val="auto"/>
          <w:sz w:val="32"/>
          <w:szCs w:val="32"/>
        </w:rPr>
        <w:t>90%</w:t>
      </w:r>
      <w:r>
        <w:rPr>
          <w:rFonts w:hint="eastAsia" w:ascii="仿宋_GB2312" w:eastAsia="仿宋_GB2312"/>
          <w:color w:val="auto"/>
          <w:sz w:val="32"/>
          <w:szCs w:val="32"/>
        </w:rPr>
        <w:t>以上。一般规定低限，或制订限度范围。毒性成分的含量一般应规定低限和高限。</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（三）方法学研究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质量研究用分析方法通常应根据研究项目的目的进行选择。方法的选择要有依据，包括文献依据、理论依据及试验依据。常规项目通常可采用现行版《中国药典》收载的方法。</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选择的分析方法应根据研究项目的要求，结合所采用分析方法的特点，进行相应的方法学验证，以保证所用方法的科学性、准确性和可行性。具体内容可参照现行版《中国药典》四部通则“分析方法验证指导原则”。</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1.鉴别</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建立的方法应满足专属性强、灵敏度高、重现性好、快速和操作简便的基本要求。鉴别常用的方法包括显微鉴别、</w:t>
      </w:r>
      <w:r>
        <w:rPr>
          <w:rFonts w:hint="eastAsia" w:ascii="仿宋_GB2312" w:eastAsia="仿宋_GB2312"/>
          <w:color w:val="auto"/>
          <w:sz w:val="32"/>
          <w:szCs w:val="32"/>
          <w:lang w:eastAsia="zh-CN"/>
        </w:rPr>
        <w:t>理化鉴别</w:t>
      </w:r>
      <w:r>
        <w:rPr>
          <w:rFonts w:hint="eastAsia" w:ascii="仿宋_GB2312" w:eastAsia="仿宋_GB2312"/>
          <w:color w:val="auto"/>
          <w:sz w:val="32"/>
          <w:szCs w:val="32"/>
        </w:rPr>
        <w:t>、色谱</w:t>
      </w:r>
      <w:r>
        <w:rPr>
          <w:rFonts w:hint="eastAsia" w:ascii="仿宋_GB2312" w:eastAsia="仿宋_GB2312"/>
          <w:color w:val="auto"/>
          <w:sz w:val="32"/>
          <w:szCs w:val="32"/>
          <w:lang w:eastAsia="zh-CN"/>
        </w:rPr>
        <w:t>鉴别</w:t>
      </w:r>
      <w:r>
        <w:rPr>
          <w:rFonts w:hint="eastAsia" w:ascii="仿宋_GB2312" w:eastAsia="仿宋_GB2312"/>
          <w:color w:val="auto"/>
          <w:sz w:val="32"/>
          <w:szCs w:val="32"/>
        </w:rPr>
        <w:t>、光谱</w:t>
      </w:r>
      <w:r>
        <w:rPr>
          <w:rFonts w:hint="eastAsia" w:ascii="仿宋_GB2312" w:eastAsia="仿宋_GB2312"/>
          <w:color w:val="auto"/>
          <w:sz w:val="32"/>
          <w:szCs w:val="32"/>
          <w:lang w:eastAsia="zh-CN"/>
        </w:rPr>
        <w:t>鉴别</w:t>
      </w:r>
      <w:r>
        <w:rPr>
          <w:rFonts w:hint="eastAsia" w:ascii="仿宋_GB2312" w:eastAsia="仿宋_GB2312"/>
          <w:color w:val="auto"/>
          <w:sz w:val="32"/>
          <w:szCs w:val="32"/>
        </w:rPr>
        <w:t>等。</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鉴别研究应考察方法的专属性和耐用性。阴性对照样品制备应按处方及制法制成不含待测药味的空白样品（包括辅料），样品处理应按质量标准规定的方法操作；若制剂中含有相同化学成分的药味时，阴性对照应分别制备缺味空白样品和共同缺味空白样品。</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若制剂中含有多种直接入药的生药粉，在显微鉴别方法中应分别描述各药味的专属性特征，并在起草说明中提供清晰的显微特征照片（照片中需含有长度标尺）。</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薄层色谱法尽可能同时使用对照品与对照药材为对照，对样品制备（提取、纯化方法等）和色谱条件（展开剂、点样量、温湿度、显色条件、薄层板型号等）进行考察，并随资料附代表性图谱。</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2.浸出物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选择溶剂时应注意避免辅料的干扰。浸出物测定研究应系统考察各种影响因素对浸出物检测的影响。</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3.指纹/特征图谱</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获取技术主要有薄层色谱法、高效液相色谱法、气相色谱法及其他色谱技术。方法研究内容一般包括建立分析方法、色谱峰的指认、建立对照图谱、数据分析与评价等。</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应根据中药所含主要成分的性质研究建立合适的供试品制备方法。若中药所含多种理化性质差异较大的不同类型成份，可考虑分别制备供试品，并建立多个指纹图谱/特征图谱以分别反映不同类型成份的信息。</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检测方法和参数等的选择，应以反映产品所含成分信息最大化为原则。一般选取容易获取的一个或多个主要活性成份或指标成份作为参照物；若无合适的参照物，也可选择图谱中稳定的色谱峰作为参照峰，并应尽可能对其进行指认。通过对代表性样品指纹/特征图谱的分析，选择各批样品中均出现的色谱峰作为共有峰。可选择其中含量高、专属性强的色谱峰作为特征峰。</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指纹/特征图谱一般以相似度或特征峰相对保留时间、峰面积比值等为检测指标。可根据多批样品的检测结果，采用指纹图谱相似度评价系统计算机软件获取共有峰的模式，建立对照指纹图谱，采用上述软件对供试品指纹图谱与对照指纹图谱进行相似度分析比较，并关注非共有峰的特征。特征图谱需确定各特征峰的相对保留时间、峰面积比值及其范围。</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主要成份在特征或指纹图谱中应尽可能得到指认。</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应在样品检测数据的基础上进行评价，制定指纹/特征图谱相似度或相对保留时间、峰面积比值及其范围。</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4.含量测定</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含量测定方法主要包括容量法、色谱法、光谱法等，一般首选色谱法。</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在含量测定方法研究时，应对样品制备（提取、纯化方法等）和分析方法条件进行考察，应进行方法学验证，验证内容包括专属性、准确度、精密度、线性及范围、耐用性等。应随资料附代表性的图谱，并标明相关成分在图中的位置。</w:t>
      </w:r>
    </w:p>
    <w:p>
      <w:pPr>
        <w:spacing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（四）质量标准正文</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1.编排顺序与一般要求</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质量标准正文的一般构成与编排顺序应与现行版《中国药典》一部基本一致。具体编排顺序如下：品名（包括中文名和汉语拼音）、处方、制法、性状、鉴别、检查、浸出物、指纹/特征图谱、含量测定、功能与主治、用法与用量、注意、规格、贮藏等。除品名外，其他项目的名称加括黑鱼尾号“【】”并加粗字体。</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质量标准中的格式、术语、数值、计量单位、符号、公式应符合现行版《中国药典》四部凡例的规定，并参照《国家药品标准工作手册》（国家药典委员会编）。</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质量标准中每一项质量指标应有相应的检测方法，方法必须具有可行性与重现性，并有明确的结果判定。除具体品种项下的特殊要求外，标准项目中所有涉及检验的方法与技术按现行版《中国药典》四部的要求。</w:t>
      </w:r>
    </w:p>
    <w:p>
      <w:pPr>
        <w:spacing w:line="560" w:lineRule="exact"/>
        <w:ind w:firstLine="640" w:firstLineChars="200"/>
        <w:rPr>
          <w:rFonts w:ascii="仿宋_GB2312" w:eastAsia="仿宋_GB2312"/>
          <w:color w:val="auto"/>
          <w:sz w:val="32"/>
          <w:szCs w:val="32"/>
        </w:rPr>
      </w:pP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检测方法中所用试剂、溶剂应易于得到，尽可能避免使用一类溶剂，控制使用二类溶剂。操作中需特别处理或注意的地方应注明，对可能出现的危险应予提示。</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2.正文的具体要求</w:t>
      </w:r>
    </w:p>
    <w:p>
      <w:pPr>
        <w:spacing w:line="560" w:lineRule="exact"/>
        <w:ind w:firstLine="640" w:firstLineChars="200"/>
        <w:rPr>
          <w:rFonts w:ascii="仿宋_GB2312" w:eastAsia="仿宋_GB2312"/>
          <w:b/>
          <w:color w:val="auto"/>
          <w:sz w:val="32"/>
          <w:szCs w:val="32"/>
        </w:rPr>
      </w:pPr>
      <w:r>
        <w:rPr>
          <w:rFonts w:hint="default" w:ascii="Times New Roman" w:hAnsi="Times New Roman" w:eastAsia="仿宋_GB2312" w:cs="Times New Roman"/>
          <w:b w:val="0"/>
          <w:color w:val="auto"/>
          <w:sz w:val="32"/>
          <w:szCs w:val="32"/>
        </w:rPr>
        <w:t>（1）</w:t>
      </w:r>
      <w:r>
        <w:rPr>
          <w:rFonts w:hint="eastAsia" w:ascii="仿宋_GB2312" w:eastAsia="仿宋_GB2312"/>
          <w:b w:val="0"/>
          <w:bCs/>
          <w:color w:val="auto"/>
          <w:sz w:val="32"/>
          <w:szCs w:val="32"/>
        </w:rPr>
        <w:t>品名</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应遵循《天津市医疗机构中药制剂通用名称命名技术指导原则》（津药监药注</w:t>
      </w:r>
      <w:r>
        <w:rPr>
          <w:rFonts w:hint="default" w:ascii="Times New Roman" w:hAnsi="Times New Roman" w:eastAsia="仿宋_GB2312" w:cs="Times New Roman"/>
          <w:color w:val="auto"/>
          <w:sz w:val="32"/>
          <w:szCs w:val="32"/>
        </w:rPr>
        <w:t>〔2024〕12</w:t>
      </w:r>
      <w:r>
        <w:rPr>
          <w:rFonts w:hint="eastAsia" w:ascii="仿宋_GB2312" w:eastAsia="仿宋_GB2312"/>
          <w:color w:val="auto"/>
          <w:sz w:val="32"/>
          <w:szCs w:val="32"/>
        </w:rPr>
        <w:t>号），应明确、简短、规范，不得使用代号和外文。汉语拼音按现版新华字典进行相应标注。</w:t>
      </w:r>
    </w:p>
    <w:p>
      <w:pPr>
        <w:spacing w:line="560" w:lineRule="exact"/>
        <w:ind w:firstLine="640" w:firstLineChars="200"/>
        <w:rPr>
          <w:rFonts w:ascii="仿宋_GB2312" w:eastAsia="仿宋_GB2312"/>
          <w:b/>
          <w:color w:val="auto"/>
          <w:sz w:val="32"/>
          <w:szCs w:val="32"/>
        </w:rPr>
      </w:pPr>
      <w:r>
        <w:rPr>
          <w:rFonts w:hint="default" w:ascii="Times New Roman" w:hAnsi="Times New Roman" w:eastAsia="仿宋_GB2312" w:cs="Times New Roman"/>
          <w:b w:val="0"/>
          <w:color w:val="auto"/>
          <w:sz w:val="32"/>
          <w:szCs w:val="32"/>
        </w:rPr>
        <w:t>（2）</w:t>
      </w:r>
      <w:r>
        <w:rPr>
          <w:rFonts w:hint="eastAsia" w:ascii="仿宋_GB2312" w:eastAsia="仿宋_GB2312"/>
          <w:b w:val="0"/>
          <w:bCs/>
          <w:color w:val="auto"/>
          <w:sz w:val="32"/>
          <w:szCs w:val="32"/>
        </w:rPr>
        <w:t>处方</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①处方包括组方饮片和提取物等药味的名称与用量，复方制剂的处方药味一般应按君、臣、佐、使的顺序排列。固体药味的用量单位为克（</w:t>
      </w:r>
      <w:r>
        <w:rPr>
          <w:rFonts w:hint="default" w:ascii="Times New Roman" w:hAnsi="Times New Roman" w:eastAsia="仿宋_GB2312" w:cs="Times New Roman"/>
          <w:color w:val="auto"/>
          <w:sz w:val="32"/>
          <w:szCs w:val="32"/>
        </w:rPr>
        <w:t>g</w:t>
      </w:r>
      <w:r>
        <w:rPr>
          <w:rFonts w:hint="eastAsia" w:ascii="仿宋_GB2312" w:eastAsia="仿宋_GB2312"/>
          <w:color w:val="auto"/>
          <w:sz w:val="32"/>
          <w:szCs w:val="32"/>
        </w:rPr>
        <w:t>），液体药味的用量单位为克（</w:t>
      </w:r>
      <w:r>
        <w:rPr>
          <w:rFonts w:hint="default" w:ascii="Times New Roman" w:hAnsi="Times New Roman" w:eastAsia="仿宋_GB2312" w:cs="Times New Roman"/>
          <w:color w:val="auto"/>
          <w:sz w:val="32"/>
          <w:szCs w:val="32"/>
        </w:rPr>
        <w:t>g）</w:t>
      </w:r>
      <w:r>
        <w:rPr>
          <w:rFonts w:hint="eastAsia" w:ascii="仿宋_GB2312" w:eastAsia="仿宋_GB2312"/>
          <w:color w:val="auto"/>
          <w:sz w:val="32"/>
          <w:szCs w:val="32"/>
        </w:rPr>
        <w:t>或毫升（</w:t>
      </w:r>
      <w:r>
        <w:rPr>
          <w:rFonts w:hint="default" w:ascii="Times New Roman" w:hAnsi="Times New Roman" w:eastAsia="仿宋_GB2312" w:cs="Times New Roman"/>
          <w:color w:val="auto"/>
          <w:sz w:val="32"/>
          <w:szCs w:val="32"/>
        </w:rPr>
        <w:t>ml</w:t>
      </w:r>
      <w:r>
        <w:rPr>
          <w:rFonts w:hint="eastAsia" w:ascii="仿宋_GB2312" w:eastAsia="仿宋_GB2312"/>
          <w:color w:val="auto"/>
          <w:sz w:val="32"/>
          <w:szCs w:val="32"/>
        </w:rPr>
        <w:t>）。处方中各药味量一般以</w:t>
      </w:r>
      <w:r>
        <w:rPr>
          <w:rFonts w:hint="default" w:ascii="Times New Roman" w:hAnsi="Times New Roman" w:eastAsia="仿宋_GB2312" w:cs="Times New Roman"/>
          <w:color w:val="auto"/>
          <w:sz w:val="32"/>
          <w:szCs w:val="32"/>
        </w:rPr>
        <w:t>1000</w:t>
      </w:r>
      <w:r>
        <w:rPr>
          <w:rFonts w:hint="eastAsia" w:ascii="仿宋_GB2312" w:eastAsia="仿宋_GB2312"/>
          <w:color w:val="auto"/>
          <w:sz w:val="32"/>
          <w:szCs w:val="32"/>
        </w:rPr>
        <w:t>个制剂单位（片、粒、</w:t>
      </w:r>
      <w:r>
        <w:rPr>
          <w:rFonts w:hint="default" w:ascii="Times New Roman" w:hAnsi="Times New Roman" w:eastAsia="仿宋_GB2312" w:cs="Times New Roman"/>
          <w:color w:val="auto"/>
          <w:sz w:val="32"/>
          <w:szCs w:val="32"/>
        </w:rPr>
        <w:t>g、ml</w:t>
      </w:r>
      <w:r>
        <w:rPr>
          <w:rFonts w:hint="eastAsia" w:ascii="仿宋_GB2312" w:eastAsia="仿宋_GB2312"/>
          <w:color w:val="auto"/>
          <w:sz w:val="32"/>
          <w:szCs w:val="32"/>
        </w:rPr>
        <w:t>等）的制成量折算；除特殊情况外，各药味量的数值一般采用整数位。</w:t>
      </w:r>
    </w:p>
    <w:p>
      <w:pPr>
        <w:pStyle w:val="2"/>
        <w:spacing w:line="560" w:lineRule="exact"/>
        <w:rPr>
          <w:color w:val="auto"/>
        </w:rPr>
      </w:pPr>
      <w:r>
        <w:rPr>
          <w:rFonts w:hint="eastAsia"/>
          <w:color w:val="auto"/>
        </w:rPr>
        <w:t>②处方药味应使用法定标准中的名称，若采用炮制品应以</w:t>
      </w:r>
      <w:r>
        <w:rPr>
          <w:rFonts w:hint="eastAsia" w:hAnsi="宋体"/>
          <w:color w:val="auto"/>
        </w:rPr>
        <w:t>炮制品名称表述</w:t>
      </w:r>
      <w:r>
        <w:rPr>
          <w:rFonts w:hint="eastAsia"/>
          <w:color w:val="auto"/>
        </w:rPr>
        <w:t>，避免使用别名和异名，某些毒性较大或必须注明生用者，在名称前，加注“生”字，以免误用。详细要求参照现行版《中国药典》的凡例。</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③对于多基原的药材如仅用一个或部分基原的应在处方中予以明确。</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④若处方药味为无法定标准的提取物，应在制剂标准后附该提取物的质量标准，并列出制备工艺及关键工艺参数。</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⑤药品标准标注“大毒（或剧毒）”“有毒”的药材原则上不能超过法定标准的规定用量。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⑥饮片的特殊炮制方法应在处方中注明，如药典没有收载的炮制方法应在制剂标准后附具体炮制方法。</w:t>
      </w:r>
    </w:p>
    <w:p>
      <w:pPr>
        <w:spacing w:line="560" w:lineRule="exact"/>
        <w:ind w:firstLine="640" w:firstLineChars="200"/>
        <w:rPr>
          <w:rFonts w:ascii="仿宋_GB2312" w:eastAsia="仿宋_GB2312"/>
          <w:b/>
          <w:color w:val="auto"/>
          <w:sz w:val="32"/>
          <w:szCs w:val="32"/>
        </w:rPr>
      </w:pPr>
      <w:r>
        <w:rPr>
          <w:rFonts w:hint="default" w:ascii="Times New Roman" w:hAnsi="Times New Roman" w:eastAsia="仿宋_GB2312" w:cs="Times New Roman"/>
          <w:b w:val="0"/>
          <w:color w:val="auto"/>
          <w:sz w:val="32"/>
          <w:szCs w:val="32"/>
        </w:rPr>
        <w:t>（3）</w:t>
      </w:r>
      <w:r>
        <w:rPr>
          <w:rFonts w:hint="eastAsia" w:ascii="仿宋_GB2312" w:eastAsia="仿宋_GB2312"/>
          <w:b w:val="0"/>
          <w:bCs/>
          <w:color w:val="auto"/>
          <w:sz w:val="32"/>
          <w:szCs w:val="32"/>
        </w:rPr>
        <w:t>制法</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制法为实际配制工艺的简要描述，一般包含前处理、提取、纯化、浓缩、干燥和成型等工艺过程，应明确投料量、制备过程、关键工艺参数、辅料种类及用量范围、制成量等。制法描述的格式和用语可参照现行版《中国药典》和现行版《天津市医疗机构制剂规范》的格式和用语进行规范，要求用词准确、语言简练、逻辑严谨，避免使用易产生误解或歧义的语句。</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（4）性状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指制剂除去包装的直观情况，按颜色、外形、气味、味觉依次描述。</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（5）鉴别</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①列出所建立的鉴别项，检测方法描述应准确。建有多个鉴别项的应按照鉴别成分在处方中的顺序排列。</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②各药味显微特征后应注明所鉴别药味的归属。同一药味不同特征之间应用分号隔开，不同药味的显微特征用句号隔开。</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（6）检查</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根据现行版《中国药典》四部相关的制剂通则，列出必要的检查项目以及相应的限度范围。无菌或微生物限度检查方法及限度应列入正文。</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（7）浸出物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浸出物的检测方法中应注明溶剂的种类及用量、测定方法及温度参数等，并规定合理的浸出物限度范围。一般采用最小制剂单位的含量作限值规定，如“每片（或每粒、每袋、每丸等）含浸出物不少于××</w:t>
      </w:r>
      <w:r>
        <w:rPr>
          <w:rFonts w:hint="default" w:ascii="Times New Roman" w:hAnsi="Times New Roman" w:eastAsia="仿宋_GB2312" w:cs="Times New Roman"/>
          <w:color w:val="auto"/>
          <w:sz w:val="32"/>
          <w:szCs w:val="32"/>
        </w:rPr>
        <w:t>mg</w:t>
      </w:r>
      <w:r>
        <w:rPr>
          <w:rFonts w:hint="eastAsia" w:ascii="仿宋_GB2312" w:eastAsia="仿宋_GB2312"/>
          <w:color w:val="auto"/>
          <w:sz w:val="32"/>
          <w:szCs w:val="32"/>
        </w:rPr>
        <w:t>”。</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（8）指纹/特征图谱</w:t>
      </w:r>
    </w:p>
    <w:p>
      <w:pPr>
        <w:pStyle w:val="2"/>
        <w:spacing w:line="560" w:lineRule="exact"/>
        <w:rPr>
          <w:color w:val="auto"/>
        </w:rPr>
      </w:pPr>
      <w:r>
        <w:rPr>
          <w:rFonts w:hint="eastAsia"/>
          <w:color w:val="auto"/>
        </w:rPr>
        <w:t>内容一般包括建立分析方法、色谱峰的指认、建立对照图谱、数据分析与评价等过程。</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（9）含量测定</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列出含量测定方法及含量限度。应根据多批次实测数据制定，含量限度一般规定低限，或按照其标示量制定含量测定用的百分限（幅）度。毒性成分的含量一般应规定低限和高限。</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（10）功能与主治</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依据临床试验的结果而制订，并有符合要求的相关临床资料或文献资料作为技术支持。功能主治的描述应使用规范的医学术语，不得使用生僻或有歧义的术语。中药制剂功能主治的表述原则上应符合中医的传统表述习惯，主治中一般应有相应的中医证候或中医病机的表述或限定。</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（11）用法与用量</w:t>
      </w:r>
    </w:p>
    <w:p>
      <w:pPr>
        <w:pStyle w:val="2"/>
        <w:spacing w:line="560" w:lineRule="exact"/>
        <w:rPr>
          <w:color w:val="auto"/>
        </w:rPr>
      </w:pPr>
      <w:r>
        <w:rPr>
          <w:rFonts w:hint="eastAsia"/>
          <w:color w:val="auto"/>
        </w:rPr>
        <w:t>用法用量应依据临床应用的结果说明临床推荐使用的用法和用量，先写用法，后写用量。如“口服。一次</w:t>
      </w:r>
      <w:r>
        <w:rPr>
          <w:rFonts w:hint="default" w:ascii="Times New Roman" w:hAnsi="Times New Roman" w:cs="Times New Roman"/>
          <w:color w:val="auto"/>
        </w:rPr>
        <w:t>2</w:t>
      </w:r>
      <w:r>
        <w:rPr>
          <w:rFonts w:hint="eastAsia"/>
          <w:color w:val="auto"/>
        </w:rPr>
        <w:t>片，一日</w:t>
      </w:r>
      <w:r>
        <w:rPr>
          <w:rFonts w:hint="default" w:ascii="Times New Roman" w:hAnsi="Times New Roman" w:cs="Times New Roman"/>
          <w:color w:val="auto"/>
        </w:rPr>
        <w:t>3</w:t>
      </w:r>
      <w:r>
        <w:rPr>
          <w:rFonts w:hint="eastAsia"/>
          <w:color w:val="auto"/>
        </w:rPr>
        <w:t>次”表示。必要时注明一个疗程的时间。如同一制剂不同的功能主治、不同的年龄阶段或特殊人群其用法用量可能不完全一致，应详细列出。毒剧药或其他特殊成分要注明极量。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用法与用量的表述应规范、详细、易懂、便于患者自行服用。建议根据本医疗机构内该制剂处方临床使用经验、处方方解、古代经典文献、药效及安全性研究结果等总结。如不同适应症、不同年龄阶段、不同病情的用法用量不完全一致，应详细列出。如丸剂“口服。一次</w:t>
      </w:r>
      <w:r>
        <w:rPr>
          <w:rFonts w:hint="default" w:ascii="Times New Roman" w:hAnsi="Times New Roman" w:eastAsia="仿宋_GB2312" w:cs="Times New Roman"/>
          <w:color w:val="auto"/>
          <w:sz w:val="32"/>
          <w:szCs w:val="32"/>
        </w:rPr>
        <w:t>2g</w:t>
      </w:r>
      <w:r>
        <w:rPr>
          <w:rFonts w:hint="eastAsia" w:ascii="仿宋_GB2312" w:eastAsia="仿宋_GB2312"/>
          <w:color w:val="auto"/>
          <w:sz w:val="32"/>
          <w:szCs w:val="32"/>
        </w:rPr>
        <w:t>，一日</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次；或遵医嘱。”。</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（12）注意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按照临床应用结果和处方成分性能，列出使用该制剂时必须注意的问题，包括各种禁忌，如孕妇及其他疾患和体质方面的禁忌、饮食禁忌等。</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（13）规格</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制剂规格表述应参照《天津市医疗机构中药制剂规格表述技术指导原则》的相关要求，并且与说明书中表达的方式一致。</w:t>
      </w:r>
    </w:p>
    <w:p>
      <w:pPr>
        <w:spacing w:line="560" w:lineRule="exact"/>
        <w:ind w:firstLine="640" w:firstLineChars="200"/>
        <w:rPr>
          <w:rFonts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（14）贮藏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贮藏项表述的内容系对制剂贮藏与保管的基本要求。根据稳定性影响因素和制剂稳定性的考察结果，确定贮藏条件。所用术语应符合现行版《中国药典》凡例的规定。</w:t>
      </w:r>
    </w:p>
    <w:p>
      <w:pPr>
        <w:ind w:firstLine="640" w:firstLineChars="200"/>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NjkwOWM0MmRkOWNjYzg2YWI0MTIzZmFiN2YxMjYifQ=="/>
  </w:docVars>
  <w:rsids>
    <w:rsidRoot w:val="00270A30"/>
    <w:rsid w:val="000B1045"/>
    <w:rsid w:val="00153D08"/>
    <w:rsid w:val="001566BA"/>
    <w:rsid w:val="00170346"/>
    <w:rsid w:val="00172E3F"/>
    <w:rsid w:val="001D2593"/>
    <w:rsid w:val="001F4C9A"/>
    <w:rsid w:val="001F79C1"/>
    <w:rsid w:val="00203261"/>
    <w:rsid w:val="002114CA"/>
    <w:rsid w:val="00242FD9"/>
    <w:rsid w:val="0025413F"/>
    <w:rsid w:val="00260CDD"/>
    <w:rsid w:val="00266CA2"/>
    <w:rsid w:val="00270A30"/>
    <w:rsid w:val="002A18C8"/>
    <w:rsid w:val="002F4F09"/>
    <w:rsid w:val="00312DC9"/>
    <w:rsid w:val="0033445D"/>
    <w:rsid w:val="003621FF"/>
    <w:rsid w:val="0038303A"/>
    <w:rsid w:val="003A7D87"/>
    <w:rsid w:val="00416242"/>
    <w:rsid w:val="004348EF"/>
    <w:rsid w:val="004460E9"/>
    <w:rsid w:val="004C703C"/>
    <w:rsid w:val="004D13D6"/>
    <w:rsid w:val="004D3CB7"/>
    <w:rsid w:val="005002A0"/>
    <w:rsid w:val="005161D8"/>
    <w:rsid w:val="0051640B"/>
    <w:rsid w:val="005425ED"/>
    <w:rsid w:val="0054589E"/>
    <w:rsid w:val="0058135F"/>
    <w:rsid w:val="005838EC"/>
    <w:rsid w:val="005A137B"/>
    <w:rsid w:val="005B2AEF"/>
    <w:rsid w:val="005C384F"/>
    <w:rsid w:val="005C6966"/>
    <w:rsid w:val="005D4224"/>
    <w:rsid w:val="005D5FC8"/>
    <w:rsid w:val="00661604"/>
    <w:rsid w:val="006B1895"/>
    <w:rsid w:val="006B5F26"/>
    <w:rsid w:val="006D02EA"/>
    <w:rsid w:val="006D264A"/>
    <w:rsid w:val="006D3BAA"/>
    <w:rsid w:val="00707226"/>
    <w:rsid w:val="00736865"/>
    <w:rsid w:val="00760540"/>
    <w:rsid w:val="00783CBD"/>
    <w:rsid w:val="00792688"/>
    <w:rsid w:val="00800573"/>
    <w:rsid w:val="00847A00"/>
    <w:rsid w:val="008733AF"/>
    <w:rsid w:val="00880800"/>
    <w:rsid w:val="008842D9"/>
    <w:rsid w:val="008C7852"/>
    <w:rsid w:val="008D075D"/>
    <w:rsid w:val="008D706B"/>
    <w:rsid w:val="009559A1"/>
    <w:rsid w:val="00982A40"/>
    <w:rsid w:val="009A2D79"/>
    <w:rsid w:val="009C1578"/>
    <w:rsid w:val="00A07266"/>
    <w:rsid w:val="00A27005"/>
    <w:rsid w:val="00A324D9"/>
    <w:rsid w:val="00A46658"/>
    <w:rsid w:val="00A55EC9"/>
    <w:rsid w:val="00A8593A"/>
    <w:rsid w:val="00AC4244"/>
    <w:rsid w:val="00B55706"/>
    <w:rsid w:val="00B72BCA"/>
    <w:rsid w:val="00B838DE"/>
    <w:rsid w:val="00B949A6"/>
    <w:rsid w:val="00C31F15"/>
    <w:rsid w:val="00C623D3"/>
    <w:rsid w:val="00C65C96"/>
    <w:rsid w:val="00CC3314"/>
    <w:rsid w:val="00CF1B1E"/>
    <w:rsid w:val="00D168ED"/>
    <w:rsid w:val="00D20763"/>
    <w:rsid w:val="00D20AF2"/>
    <w:rsid w:val="00D50B68"/>
    <w:rsid w:val="00D56E64"/>
    <w:rsid w:val="00D64D00"/>
    <w:rsid w:val="00DA420A"/>
    <w:rsid w:val="00DB781E"/>
    <w:rsid w:val="00DE3D04"/>
    <w:rsid w:val="00DE7178"/>
    <w:rsid w:val="00DF44AD"/>
    <w:rsid w:val="00E00770"/>
    <w:rsid w:val="00E3459F"/>
    <w:rsid w:val="00E51E92"/>
    <w:rsid w:val="00E56F3D"/>
    <w:rsid w:val="00EB2130"/>
    <w:rsid w:val="00EC2698"/>
    <w:rsid w:val="00ED11BE"/>
    <w:rsid w:val="00EF300A"/>
    <w:rsid w:val="00F068DF"/>
    <w:rsid w:val="00F37DB0"/>
    <w:rsid w:val="00F37DF4"/>
    <w:rsid w:val="00F63796"/>
    <w:rsid w:val="00F77DF8"/>
    <w:rsid w:val="00F9429E"/>
    <w:rsid w:val="00FC1C35"/>
    <w:rsid w:val="00FD165F"/>
    <w:rsid w:val="00FD32C4"/>
    <w:rsid w:val="04886C70"/>
    <w:rsid w:val="09153CCC"/>
    <w:rsid w:val="099F7A3A"/>
    <w:rsid w:val="09ED17BC"/>
    <w:rsid w:val="0EBB7D7B"/>
    <w:rsid w:val="0F707EAE"/>
    <w:rsid w:val="13520775"/>
    <w:rsid w:val="14166737"/>
    <w:rsid w:val="14E86739"/>
    <w:rsid w:val="16FF55B8"/>
    <w:rsid w:val="17626C76"/>
    <w:rsid w:val="17EB9BB8"/>
    <w:rsid w:val="18BC3082"/>
    <w:rsid w:val="18D45952"/>
    <w:rsid w:val="1A7F06B6"/>
    <w:rsid w:val="1BE533E3"/>
    <w:rsid w:val="20A64227"/>
    <w:rsid w:val="21027987"/>
    <w:rsid w:val="212B632B"/>
    <w:rsid w:val="229E5500"/>
    <w:rsid w:val="25BB6B9A"/>
    <w:rsid w:val="27BF943A"/>
    <w:rsid w:val="299E45BA"/>
    <w:rsid w:val="2B1A6A67"/>
    <w:rsid w:val="2E4BFBF3"/>
    <w:rsid w:val="35EC5065"/>
    <w:rsid w:val="3AFA638A"/>
    <w:rsid w:val="3BC92E89"/>
    <w:rsid w:val="3BDEA656"/>
    <w:rsid w:val="3C2105FF"/>
    <w:rsid w:val="3DB3105F"/>
    <w:rsid w:val="3FEEBF84"/>
    <w:rsid w:val="41466412"/>
    <w:rsid w:val="477D24CE"/>
    <w:rsid w:val="48403BBB"/>
    <w:rsid w:val="4AAC6646"/>
    <w:rsid w:val="4BAA28B6"/>
    <w:rsid w:val="4BED04AE"/>
    <w:rsid w:val="4E2035A5"/>
    <w:rsid w:val="4EB04A4B"/>
    <w:rsid w:val="4FFB0513"/>
    <w:rsid w:val="51FED7AB"/>
    <w:rsid w:val="53DF46DE"/>
    <w:rsid w:val="553C379A"/>
    <w:rsid w:val="56DB7A58"/>
    <w:rsid w:val="57CD4D3F"/>
    <w:rsid w:val="588F25D8"/>
    <w:rsid w:val="5BD462C2"/>
    <w:rsid w:val="5C206275"/>
    <w:rsid w:val="5C967DF5"/>
    <w:rsid w:val="5D2B49E2"/>
    <w:rsid w:val="5D7EA438"/>
    <w:rsid w:val="5DAF2760"/>
    <w:rsid w:val="5EEF3561"/>
    <w:rsid w:val="5EFA7CCD"/>
    <w:rsid w:val="61A22D98"/>
    <w:rsid w:val="63BFD95A"/>
    <w:rsid w:val="6A2353BE"/>
    <w:rsid w:val="6CDA729D"/>
    <w:rsid w:val="6D359E8A"/>
    <w:rsid w:val="6F7C0669"/>
    <w:rsid w:val="6FBB27F8"/>
    <w:rsid w:val="6FC5B555"/>
    <w:rsid w:val="6FFF438D"/>
    <w:rsid w:val="70F6E956"/>
    <w:rsid w:val="71096B8F"/>
    <w:rsid w:val="74F49EB4"/>
    <w:rsid w:val="757DE146"/>
    <w:rsid w:val="75ED5D32"/>
    <w:rsid w:val="75FE0755"/>
    <w:rsid w:val="764F753B"/>
    <w:rsid w:val="76FB291F"/>
    <w:rsid w:val="77BF91DB"/>
    <w:rsid w:val="77D9E0A5"/>
    <w:rsid w:val="78746DE5"/>
    <w:rsid w:val="7BFE1C89"/>
    <w:rsid w:val="7CA3E458"/>
    <w:rsid w:val="7DBBA94F"/>
    <w:rsid w:val="7DF72DC5"/>
    <w:rsid w:val="7DFBE2FC"/>
    <w:rsid w:val="7EF7C82D"/>
    <w:rsid w:val="7EF95573"/>
    <w:rsid w:val="7EFAF087"/>
    <w:rsid w:val="7F77A81A"/>
    <w:rsid w:val="7F7D58EC"/>
    <w:rsid w:val="7F9BE0C6"/>
    <w:rsid w:val="7F9F6AC5"/>
    <w:rsid w:val="7FEB0A90"/>
    <w:rsid w:val="7FEDA709"/>
    <w:rsid w:val="7FFFA6D7"/>
    <w:rsid w:val="873F2367"/>
    <w:rsid w:val="9D4B5CFF"/>
    <w:rsid w:val="AD5F5AE9"/>
    <w:rsid w:val="B59BC8F0"/>
    <w:rsid w:val="B5E7A3B1"/>
    <w:rsid w:val="B65E579B"/>
    <w:rsid w:val="BA7B23C6"/>
    <w:rsid w:val="BFA9DD21"/>
    <w:rsid w:val="BFABD118"/>
    <w:rsid w:val="BFFF2DAD"/>
    <w:rsid w:val="CD3EDDE9"/>
    <w:rsid w:val="CFFF7263"/>
    <w:rsid w:val="D27D8FF8"/>
    <w:rsid w:val="D5FB1DD2"/>
    <w:rsid w:val="D9BA4945"/>
    <w:rsid w:val="D9FEB8F0"/>
    <w:rsid w:val="DFEB4ADC"/>
    <w:rsid w:val="DFEFD79F"/>
    <w:rsid w:val="DFF7E9E8"/>
    <w:rsid w:val="E34FD4A1"/>
    <w:rsid w:val="E573D587"/>
    <w:rsid w:val="E7FF1C14"/>
    <w:rsid w:val="E9F71EFB"/>
    <w:rsid w:val="ECAE8611"/>
    <w:rsid w:val="F38D895D"/>
    <w:rsid w:val="F4174036"/>
    <w:rsid w:val="F6767D6E"/>
    <w:rsid w:val="F77E5F01"/>
    <w:rsid w:val="F9CF8CB2"/>
    <w:rsid w:val="FA5DA317"/>
    <w:rsid w:val="FAF41D82"/>
    <w:rsid w:val="FB3BD7B7"/>
    <w:rsid w:val="FB6E079A"/>
    <w:rsid w:val="FB7E255A"/>
    <w:rsid w:val="FD338641"/>
    <w:rsid w:val="FDABA8D4"/>
    <w:rsid w:val="FDB781F0"/>
    <w:rsid w:val="FDDE30BE"/>
    <w:rsid w:val="FDEA2A97"/>
    <w:rsid w:val="FDEA3A0F"/>
    <w:rsid w:val="FDFDBD3D"/>
    <w:rsid w:val="FDFFF8E1"/>
    <w:rsid w:val="FE734873"/>
    <w:rsid w:val="FED2673B"/>
    <w:rsid w:val="FEF3FAC9"/>
    <w:rsid w:val="FF7798B8"/>
    <w:rsid w:val="FFA6BF5F"/>
    <w:rsid w:val="FFB15D08"/>
    <w:rsid w:val="FFDF7796"/>
    <w:rsid w:val="FFEE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ind w:firstLine="640" w:firstLineChars="200"/>
      <w:jc w:val="left"/>
    </w:pPr>
    <w:rPr>
      <w:rFonts w:ascii="仿宋_GB2312" w:eastAsia="仿宋_GB2312"/>
      <w:sz w:val="32"/>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qFormat/>
    <w:uiPriority w:val="99"/>
    <w:rPr>
      <w:rFonts w:ascii="仿宋_GB2312" w:eastAsia="仿宋_GB2312"/>
      <w:kern w:val="2"/>
      <w:sz w:val="32"/>
      <w:szCs w:val="32"/>
    </w:rPr>
  </w:style>
  <w:style w:type="character" w:customStyle="1" w:styleId="13">
    <w:name w:val="批注主题 Char"/>
    <w:basedOn w:val="12"/>
    <w:link w:val="6"/>
    <w:semiHidden/>
    <w:qFormat/>
    <w:uiPriority w:val="99"/>
    <w:rPr>
      <w:rFonts w:ascii="仿宋_GB2312" w:eastAsia="仿宋_GB2312"/>
      <w:b/>
      <w:bCs/>
      <w:kern w:val="2"/>
      <w:sz w:val="32"/>
      <w:szCs w:val="32"/>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7719</Words>
  <Characters>7781</Characters>
  <Lines>56</Lines>
  <Paragraphs>15</Paragraphs>
  <TotalTime>50</TotalTime>
  <ScaleCrop>false</ScaleCrop>
  <LinksUpToDate>false</LinksUpToDate>
  <CharactersWithSpaces>7793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2025-10-10T16:29:00Z</dcterms:created>
  <dc:creator>USER</dc:creator>
  <cp:lastModifiedBy>张敬</cp:lastModifiedBy>
  <dcterms:modified xsi:type="dcterms:W3CDTF">2025-12-24T07:50:00Z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FE17DC0B4DA3463094F7F10F49346E54_12</vt:lpwstr>
  </property>
  <property fmtid="{D5CDD505-2E9C-101B-9397-08002B2CF9AE}" pid="4" name="KSOTemplateDocerSaveRecord">
    <vt:lpwstr>eyJoZGlkIjoiMzEwYmEzYTc1MjNiODJkMTJiNWZhNWJmYzczNjYyZjAiLCJ1c2VySWQiOiIxMzc0MzY4MTA2In0=</vt:lpwstr>
  </property>
</Properties>
</file>