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hint="eastAsia" w:ascii="仿宋_GB2312" w:eastAsia="仿宋_GB2312" w:hAnsiTheme="minorHAnsi" w:cstheme="minorBidi"/>
          <w:i w:val="0"/>
          <w:caps w:val="0"/>
          <w:spacing w:val="0"/>
          <w:kern w:val="2"/>
          <w:sz w:val="32"/>
          <w:szCs w:val="32"/>
          <w:u w:val="none"/>
          <w:shd w:val="clear"/>
          <w:lang w:val="en-US" w:eastAsia="zh-CN" w:bidi="ar-SA"/>
        </w:rPr>
      </w:pPr>
      <w:bookmarkStart w:id="1" w:name="_GoBack"/>
      <w:bookmarkEnd w:id="1"/>
      <w:r>
        <w:rPr>
          <w:rFonts w:hint="default" w:ascii="Times New Roman" w:hAnsi="Times New Roman" w:eastAsia="黑体" w:cs="Times New Roman"/>
          <w:i w:val="0"/>
          <w:caps w:val="0"/>
          <w:spacing w:val="0"/>
          <w:kern w:val="2"/>
          <w:sz w:val="32"/>
          <w:szCs w:val="32"/>
          <w:u w:val="none"/>
          <w:shd w:val="clear"/>
          <w:lang w:eastAsia="zh-CN" w:bidi="ar-SA"/>
        </w:rPr>
        <w:t>附件</w:t>
      </w:r>
      <w:r>
        <w:rPr>
          <w:rFonts w:hint="default" w:ascii="Times New Roman" w:hAnsi="Times New Roman" w:eastAsia="黑体" w:cs="Times New Roman"/>
          <w:i w:val="0"/>
          <w:caps w:val="0"/>
          <w:spacing w:val="0"/>
          <w:kern w:val="2"/>
          <w:sz w:val="32"/>
          <w:szCs w:val="32"/>
          <w:u w:val="none"/>
          <w:shd w:val="clear"/>
          <w:lang w:val="en-US" w:eastAsia="zh-CN" w:bidi="ar-SA"/>
        </w:rPr>
        <w:t>2</w:t>
      </w:r>
    </w:p>
    <w:p>
      <w:pPr>
        <w:spacing w:line="660" w:lineRule="exact"/>
        <w:jc w:val="center"/>
        <w:rPr>
          <w:rFonts w:hint="eastAsia" w:ascii="方正小标宋简体" w:eastAsia="方正小标宋简体" w:hAnsiTheme="minorHAnsi" w:cstheme="minorBidi"/>
          <w:i w:val="0"/>
          <w:caps w:val="0"/>
          <w:spacing w:val="0"/>
          <w:kern w:val="2"/>
          <w:sz w:val="44"/>
          <w:szCs w:val="44"/>
          <w:u w:val="none"/>
          <w:shd w:val="clear"/>
          <w:lang w:bidi="ar-SA"/>
        </w:rPr>
      </w:pPr>
    </w:p>
    <w:p>
      <w:pPr>
        <w:spacing w:line="620" w:lineRule="exact"/>
        <w:jc w:val="center"/>
        <w:rPr>
          <w:rFonts w:hint="eastAsia" w:ascii="方正小标宋简体" w:eastAsia="方正小标宋简体" w:hAnsiTheme="minorHAnsi" w:cstheme="minorBidi"/>
          <w:i w:val="0"/>
          <w:caps w:val="0"/>
          <w:spacing w:val="0"/>
          <w:kern w:val="2"/>
          <w:sz w:val="44"/>
          <w:szCs w:val="44"/>
          <w:u w:val="none"/>
          <w:shd w:val="clear"/>
          <w:lang w:bidi="ar-SA"/>
        </w:rPr>
      </w:pPr>
      <w:r>
        <w:rPr>
          <w:rFonts w:hint="eastAsia" w:ascii="方正小标宋简体" w:eastAsia="方正小标宋简体" w:hAnsiTheme="minorHAnsi" w:cstheme="minorBidi"/>
          <w:i w:val="0"/>
          <w:caps w:val="0"/>
          <w:spacing w:val="0"/>
          <w:kern w:val="2"/>
          <w:sz w:val="44"/>
          <w:szCs w:val="44"/>
          <w:u w:val="none"/>
          <w:shd w:val="clear"/>
          <w:lang w:bidi="ar-SA"/>
        </w:rPr>
        <w:fldChar w:fldCharType="begin"/>
      </w:r>
      <w:r>
        <w:rPr>
          <w:rFonts w:hint="eastAsia" w:ascii="方正小标宋简体" w:eastAsia="方正小标宋简体" w:hAnsiTheme="minorHAnsi" w:cstheme="minorBidi"/>
          <w:i w:val="0"/>
          <w:caps w:val="0"/>
          <w:spacing w:val="0"/>
          <w:kern w:val="2"/>
          <w:sz w:val="44"/>
          <w:szCs w:val="44"/>
          <w:u w:val="none"/>
          <w:shd w:val="clear"/>
          <w:lang w:bidi="ar-SA"/>
        </w:rPr>
        <w:instrText xml:space="preserve"> HYPERLINK "http://172.17.136.46/spa/workflow/static4form/javascript:void(0);" \o "25.11.24改-天津市医疗机构中药制剂说明书规范书写技术指导原则（征求意见稿）.docx" \t "http://172.17.136.46/spa/workflow/static4form/_blank" </w:instrText>
      </w:r>
      <w:r>
        <w:rPr>
          <w:rFonts w:hint="eastAsia" w:ascii="方正小标宋简体" w:eastAsia="方正小标宋简体" w:hAnsiTheme="minorHAnsi" w:cstheme="minorBidi"/>
          <w:i w:val="0"/>
          <w:caps w:val="0"/>
          <w:spacing w:val="0"/>
          <w:kern w:val="2"/>
          <w:sz w:val="44"/>
          <w:szCs w:val="44"/>
          <w:u w:val="none"/>
          <w:shd w:val="clear"/>
          <w:lang w:bidi="ar-SA"/>
        </w:rPr>
        <w:fldChar w:fldCharType="separate"/>
      </w:r>
      <w:r>
        <w:rPr>
          <w:rFonts w:hint="eastAsia" w:ascii="方正小标宋简体" w:eastAsia="方正小标宋简体" w:hAnsiTheme="minorHAnsi" w:cstheme="minorBidi"/>
          <w:i w:val="0"/>
          <w:caps w:val="0"/>
          <w:spacing w:val="0"/>
          <w:kern w:val="2"/>
          <w:sz w:val="44"/>
          <w:szCs w:val="44"/>
          <w:u w:val="none"/>
          <w:shd w:val="clear"/>
          <w:lang w:bidi="ar-SA"/>
        </w:rPr>
        <w:t>天津市医疗机构中药制剂说明书撰写</w:t>
      </w:r>
    </w:p>
    <w:p>
      <w:pPr>
        <w:spacing w:line="620" w:lineRule="exact"/>
        <w:jc w:val="center"/>
        <w:rPr>
          <w:rFonts w:hint="eastAsia" w:ascii="方正小标宋简体" w:eastAsia="方正小标宋简体"/>
          <w:sz w:val="44"/>
          <w:szCs w:val="44"/>
        </w:rPr>
      </w:pPr>
      <w:r>
        <w:rPr>
          <w:rFonts w:hint="eastAsia" w:ascii="方正小标宋简体" w:eastAsia="方正小标宋简体" w:hAnsiTheme="minorHAnsi" w:cstheme="minorBidi"/>
          <w:i w:val="0"/>
          <w:caps w:val="0"/>
          <w:spacing w:val="0"/>
          <w:kern w:val="2"/>
          <w:sz w:val="44"/>
          <w:szCs w:val="44"/>
          <w:u w:val="none"/>
          <w:shd w:val="clear"/>
          <w:lang w:bidi="ar-SA"/>
        </w:rPr>
        <w:t>技术指导原则</w:t>
      </w:r>
      <w:r>
        <w:rPr>
          <w:rFonts w:hint="eastAsia" w:ascii="方正小标宋简体" w:eastAsia="方正小标宋简体" w:hAnsiTheme="minorHAnsi" w:cstheme="minorBidi"/>
          <w:i w:val="0"/>
          <w:caps w:val="0"/>
          <w:spacing w:val="0"/>
          <w:kern w:val="2"/>
          <w:sz w:val="44"/>
          <w:szCs w:val="44"/>
          <w:u w:val="none"/>
          <w:shd w:val="clear"/>
          <w:lang w:bidi="ar-SA"/>
        </w:rPr>
        <w:fldChar w:fldCharType="end"/>
      </w:r>
    </w:p>
    <w:p>
      <w:pPr>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为提升天津市医疗机构中药制剂说明书的质量，保障临床用药安全与有效，现依据《医疗机构制剂注册管理办法》（试行）（局令第</w:t>
      </w:r>
      <w:r>
        <w:rPr>
          <w:rFonts w:hint="default" w:ascii="Times New Roman" w:hAnsi="Times New Roman" w:eastAsia="仿宋_GB2312" w:cs="Times New Roman"/>
          <w:sz w:val="32"/>
          <w:szCs w:val="32"/>
        </w:rPr>
        <w:t>20</w:t>
      </w:r>
      <w:r>
        <w:rPr>
          <w:rFonts w:hint="eastAsia" w:ascii="仿宋_GB2312" w:eastAsia="仿宋_GB2312"/>
          <w:sz w:val="32"/>
          <w:szCs w:val="32"/>
        </w:rPr>
        <w:t>号）、《药品说明书和标签管理规定》（局令第</w:t>
      </w:r>
      <w:r>
        <w:rPr>
          <w:rFonts w:hint="default" w:ascii="Times New Roman" w:hAnsi="Times New Roman" w:eastAsia="仿宋_GB2312" w:cs="Times New Roman"/>
          <w:sz w:val="32"/>
          <w:szCs w:val="32"/>
        </w:rPr>
        <w:t>24</w:t>
      </w:r>
      <w:r>
        <w:rPr>
          <w:rFonts w:hint="eastAsia" w:ascii="仿宋_GB2312" w:eastAsia="仿宋_GB2312"/>
          <w:sz w:val="32"/>
          <w:szCs w:val="32"/>
        </w:rPr>
        <w:t>号）、《天津市医疗机构制剂注册管理办法实施细则》（津药监规</w:t>
      </w:r>
      <w:r>
        <w:rPr>
          <w:rFonts w:hint="default" w:ascii="Times New Roman" w:hAnsi="Times New Roman" w:eastAsia="仿宋_GB2312" w:cs="Times New Roman"/>
          <w:sz w:val="32"/>
          <w:szCs w:val="32"/>
        </w:rPr>
        <w:t>〔2024〕6</w:t>
      </w:r>
      <w:r>
        <w:rPr>
          <w:rFonts w:hint="eastAsia" w:ascii="仿宋_GB2312" w:eastAsia="仿宋_GB2312"/>
          <w:sz w:val="32"/>
          <w:szCs w:val="32"/>
        </w:rPr>
        <w:t>号）、《天津市医疗机构应用传统工艺配制中药制剂备案管理实施细则》（津药监规</w:t>
      </w:r>
      <w:r>
        <w:rPr>
          <w:rFonts w:hint="default" w:ascii="Times New Roman" w:hAnsi="Times New Roman" w:eastAsia="仿宋_GB2312" w:cs="Times New Roman"/>
          <w:sz w:val="32"/>
          <w:szCs w:val="32"/>
        </w:rPr>
        <w:t>〔2022〕1号</w:t>
      </w:r>
      <w:r>
        <w:rPr>
          <w:rFonts w:hint="eastAsia" w:ascii="仿宋_GB2312" w:eastAsia="仿宋_GB2312"/>
          <w:sz w:val="32"/>
          <w:szCs w:val="32"/>
        </w:rPr>
        <w:t>）等有关要求，参照国家药品监督管理局颁布的相关技术指导原则，结合本市医疗机构中药制剂的实际情况，制定本技术指导原则。</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一、基本原则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本指导原则是指导医疗机构根据药学、药理毒理、临床试验的结果、结论和其他相关信息起草和撰写医疗机构中药制剂</w:t>
      </w:r>
      <w:r>
        <w:rPr>
          <w:rFonts w:hint="eastAsia" w:ascii="仿宋_GB2312" w:eastAsia="仿宋_GB2312"/>
          <w:sz w:val="32"/>
          <w:szCs w:val="32"/>
          <w:lang w:eastAsia="zh-CN"/>
        </w:rPr>
        <w:t>（以下简称：制剂）</w:t>
      </w:r>
      <w:r>
        <w:rPr>
          <w:rFonts w:hint="eastAsia" w:ascii="仿宋_GB2312" w:eastAsia="仿宋_GB2312"/>
          <w:sz w:val="32"/>
          <w:szCs w:val="32"/>
        </w:rPr>
        <w:t>说明书的技术文件，也是药品监督管理部门审核说明书的重要依据。说明书规范书写标准的建立，应遵循以下基本原则，以确保确保说明书内容科学、规范、准确、合法。</w:t>
      </w:r>
    </w:p>
    <w:p>
      <w:pPr>
        <w:spacing w:line="560" w:lineRule="exact"/>
        <w:ind w:firstLine="640" w:firstLineChars="200"/>
        <w:rPr>
          <w:rFonts w:hint="eastAsia" w:ascii="仿宋_GB2312" w:eastAsia="仿宋_GB2312"/>
          <w:b/>
          <w:bCs/>
          <w:sz w:val="32"/>
          <w:szCs w:val="32"/>
        </w:rPr>
      </w:pPr>
      <w:r>
        <w:rPr>
          <w:rFonts w:hint="eastAsia" w:ascii="楷体_GB2312" w:hAnsi="楷体_GB2312" w:eastAsia="楷体_GB2312" w:cs="楷体_GB2312"/>
          <w:b w:val="0"/>
          <w:bCs w:val="0"/>
          <w:sz w:val="32"/>
          <w:szCs w:val="32"/>
        </w:rPr>
        <w:t>（一）合法性原则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所有内容必须与国家及本市医疗机构制剂管理的法律法规、批准证明文件或备案凭证、法定质量标准保持一致。</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（二）科学性原则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内容应基于药学、药理、临床研究结果或可靠的文献资料，客观真实。</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（三）规范性原则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文字表述应准确、简练、通顺，使用规范汉字，专业术语符合国家标准。</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（四）及时性与动态维护原则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说明书应根据</w:t>
      </w:r>
      <w:r>
        <w:rPr>
          <w:rFonts w:hint="eastAsia" w:ascii="仿宋_GB2312" w:eastAsia="仿宋_GB2312"/>
          <w:sz w:val="32"/>
          <w:szCs w:val="32"/>
          <w:lang w:eastAsia="zh-CN"/>
        </w:rPr>
        <w:t>制剂临床应用</w:t>
      </w:r>
      <w:r>
        <w:rPr>
          <w:rFonts w:hint="eastAsia" w:ascii="仿宋_GB2312" w:eastAsia="仿宋_GB2312"/>
          <w:sz w:val="32"/>
          <w:szCs w:val="32"/>
        </w:rPr>
        <w:t>后监测、</w:t>
      </w:r>
      <w:r>
        <w:rPr>
          <w:rFonts w:hint="eastAsia" w:ascii="仿宋_GB2312" w:eastAsia="仿宋_GB2312"/>
          <w:sz w:val="32"/>
          <w:szCs w:val="32"/>
          <w:lang w:eastAsia="zh-CN"/>
        </w:rPr>
        <w:t>最</w:t>
      </w:r>
      <w:r>
        <w:rPr>
          <w:rFonts w:hint="eastAsia" w:ascii="仿宋_GB2312" w:eastAsia="仿宋_GB2312"/>
          <w:sz w:val="32"/>
          <w:szCs w:val="32"/>
        </w:rPr>
        <w:t>新研究数据（药学、药理毒理、临床）及法规要求，</w:t>
      </w:r>
      <w:r>
        <w:rPr>
          <w:rFonts w:hint="eastAsia" w:ascii="仿宋_GB2312" w:eastAsia="仿宋_GB2312"/>
          <w:sz w:val="32"/>
          <w:szCs w:val="32"/>
          <w:lang w:eastAsia="zh-CN"/>
        </w:rPr>
        <w:t>实施</w:t>
      </w:r>
      <w:r>
        <w:rPr>
          <w:rFonts w:hint="eastAsia" w:ascii="仿宋_GB2312" w:eastAsia="仿宋_GB2312"/>
          <w:sz w:val="32"/>
          <w:szCs w:val="32"/>
        </w:rPr>
        <w:t>动态管理</w:t>
      </w:r>
      <w:r>
        <w:rPr>
          <w:rFonts w:hint="eastAsia" w:ascii="仿宋_GB2312" w:eastAsia="仿宋_GB2312"/>
          <w:sz w:val="32"/>
          <w:szCs w:val="32"/>
          <w:lang w:eastAsia="zh-CN"/>
        </w:rPr>
        <w:t>并开展</w:t>
      </w:r>
      <w:r>
        <w:rPr>
          <w:rFonts w:hint="eastAsia" w:ascii="仿宋_GB2312" w:eastAsia="仿宋_GB2312"/>
          <w:sz w:val="32"/>
          <w:szCs w:val="32"/>
        </w:rPr>
        <w:t>定期评估，及时修订并按规定报备，确保内容始终反映当前对</w:t>
      </w:r>
      <w:r>
        <w:rPr>
          <w:rFonts w:hint="eastAsia" w:ascii="仿宋_GB2312" w:eastAsia="仿宋_GB2312"/>
          <w:sz w:val="32"/>
          <w:szCs w:val="32"/>
          <w:lang w:eastAsia="zh-CN"/>
        </w:rPr>
        <w:t>制剂</w:t>
      </w:r>
      <w:r>
        <w:rPr>
          <w:rFonts w:hint="eastAsia" w:ascii="仿宋_GB2312" w:eastAsia="仿宋_GB2312"/>
          <w:sz w:val="32"/>
          <w:szCs w:val="32"/>
        </w:rPr>
        <w:t>安全性和有效性的最新认知。</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二、说明书内容及撰写的一般要求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（一）说明书应包括下列项目：核准日期和修改日期、特殊/外用</w:t>
      </w:r>
      <w:r>
        <w:rPr>
          <w:rFonts w:hint="eastAsia" w:ascii="仿宋_GB2312" w:eastAsia="仿宋_GB2312"/>
          <w:sz w:val="32"/>
          <w:szCs w:val="32"/>
          <w:lang w:eastAsia="zh-CN"/>
        </w:rPr>
        <w:t>制剂</w:t>
      </w:r>
      <w:r>
        <w:rPr>
          <w:rFonts w:hint="eastAsia" w:ascii="仿宋_GB2312" w:eastAsia="仿宋_GB2312"/>
          <w:sz w:val="32"/>
          <w:szCs w:val="32"/>
        </w:rPr>
        <w:t>标识、说明书标题、警示语、【</w:t>
      </w:r>
      <w:r>
        <w:rPr>
          <w:rFonts w:hint="eastAsia" w:ascii="仿宋_GB2312" w:eastAsia="仿宋_GB2312"/>
          <w:sz w:val="32"/>
          <w:szCs w:val="32"/>
          <w:lang w:eastAsia="zh-CN"/>
        </w:rPr>
        <w:t>制剂</w:t>
      </w:r>
      <w:r>
        <w:rPr>
          <w:rFonts w:hint="eastAsia" w:ascii="仿宋_GB2312" w:eastAsia="仿宋_GB2312"/>
          <w:sz w:val="32"/>
          <w:szCs w:val="32"/>
        </w:rPr>
        <w:t>名称】、【成份】、【性状】、【功能主治】、【规格】、【用法用量】、【不良反应】、【禁忌】、【注意事项】、【贮藏】、【包装】、【有效期】、【执行标准】、【批准文号</w:t>
      </w:r>
      <w:r>
        <w:rPr>
          <w:rFonts w:hint="eastAsia" w:ascii="仿宋_GB2312" w:eastAsia="仿宋_GB2312"/>
          <w:sz w:val="32"/>
          <w:szCs w:val="32"/>
          <w:lang w:val="en-US" w:eastAsia="zh-CN"/>
        </w:rPr>
        <w:t>/制剂备案号</w:t>
      </w:r>
      <w:r>
        <w:rPr>
          <w:rFonts w:hint="eastAsia" w:ascii="仿宋_GB2312" w:eastAsia="仿宋_GB2312"/>
          <w:sz w:val="32"/>
          <w:szCs w:val="32"/>
        </w:rPr>
        <w:t>】、【注册（备案）单位】等。</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（二）</w:t>
      </w:r>
      <w:r>
        <w:rPr>
          <w:rFonts w:hint="eastAsia" w:ascii="仿宋_GB2312" w:eastAsia="仿宋_GB2312"/>
          <w:sz w:val="32"/>
          <w:szCs w:val="32"/>
          <w:highlight w:val="none"/>
        </w:rPr>
        <w:t>说明书的内容必须包括对安全和有效用药所需的重要信息，应尽可能</w:t>
      </w:r>
      <w:r>
        <w:rPr>
          <w:rFonts w:ascii="仿宋_GB2312" w:eastAsia="仿宋_GB2312"/>
          <w:sz w:val="32"/>
          <w:szCs w:val="32"/>
          <w:highlight w:val="none"/>
        </w:rPr>
        <w:t>准确、完整</w:t>
      </w:r>
      <w:r>
        <w:rPr>
          <w:rFonts w:hint="eastAsia" w:ascii="仿宋_GB2312" w:eastAsia="仿宋_GB2312"/>
          <w:sz w:val="32"/>
          <w:szCs w:val="32"/>
          <w:highlight w:val="none"/>
        </w:rPr>
        <w:t>完善。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（三）说明书的内容应尽可能来源于可靠的临床试验（应用）的结果，以及与人体安全有效用药密切相关的动物研究信息。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（四）说明书的文字表述应客观、科学、规范、准确、简练，不能带有暗示性、误导性和不适当宣传的语言。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（五）说明书对制剂名称、药学专业名词、疾病名称、临床检验名称和结果的表述，应采用国家统一颁布或规范的专用词汇，度量衡单位应符合国家标准的规定。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（六）说明书应使用国家语言文字工作委员会公布的规范汉字，增加其他文字对照的，应以汉字表述为准。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（七）说明书的完善、修订以及维护应成为经常性的工作。</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三、说明书基本格式与项目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说明书应包含以下项目，并严格按下列顺序排列：</w:t>
      </w:r>
    </w:p>
    <w:p>
      <w:pPr>
        <w:spacing w:line="560" w:lineRule="exact"/>
        <w:rPr>
          <w:rFonts w:hint="eastAsia"/>
        </w:rPr>
      </w:pPr>
      <w:r>
        <w:rPr>
          <w:b/>
          <w:bCs/>
        </w:rPr>
        <w:t>核准日期</w:t>
      </w:r>
      <w:r>
        <w:rPr>
          <w:rFonts w:hint="eastAsia"/>
          <w:b/>
          <w:bCs/>
        </w:rPr>
        <w:t>/备案日期</w:t>
      </w:r>
      <w:r>
        <w:br w:type="textWrapping"/>
      </w:r>
      <w:r>
        <w:rPr>
          <w:b/>
          <w:bCs/>
        </w:rPr>
        <w:t>修改日期</w:t>
      </w:r>
    </w:p>
    <w:p>
      <w:pPr>
        <w:spacing w:line="560" w:lineRule="exact"/>
        <w:rPr>
          <w:rFonts w:hint="eastAsia"/>
        </w:rPr>
      </w:pPr>
      <w:r>
        <w:rPr>
          <w:b/>
          <w:bCs/>
        </w:rPr>
        <w:t>特殊</w:t>
      </w:r>
      <w:r>
        <w:rPr>
          <w:rFonts w:hint="eastAsia"/>
          <w:b/>
          <w:bCs/>
          <w:lang w:val="en-US" w:eastAsia="zh-CN"/>
        </w:rPr>
        <w:t>/</w:t>
      </w:r>
      <w:r>
        <w:rPr>
          <w:b/>
          <w:bCs/>
        </w:rPr>
        <w:t>外用</w:t>
      </w:r>
      <w:r>
        <w:rPr>
          <w:rFonts w:hint="eastAsia" w:eastAsia="宋体"/>
          <w:b/>
          <w:bCs/>
          <w:lang w:eastAsia="zh-CN"/>
        </w:rPr>
        <w:t>制剂</w:t>
      </w:r>
      <w:r>
        <w:rPr>
          <w:b/>
          <w:bCs/>
        </w:rPr>
        <w:t>标识位置</w:t>
      </w:r>
    </w:p>
    <w:p>
      <w:pPr>
        <w:spacing w:line="560" w:lineRule="exact"/>
        <w:jc w:val="left"/>
        <w:rPr>
          <w:rFonts w:hint="eastAsia"/>
        </w:rPr>
      </w:pPr>
      <w:r>
        <w:rPr>
          <w:b/>
          <w:bCs/>
        </w:rPr>
        <w:t>XXX说明书</w:t>
      </w:r>
      <w:r>
        <w:br w:type="textWrapping"/>
      </w:r>
      <w:r>
        <w:rPr>
          <w:b/>
          <w:bCs/>
        </w:rPr>
        <w:t>请仔细阅读说明书并在医师指导下使用</w:t>
      </w:r>
    </w:p>
    <w:p>
      <w:pPr>
        <w:spacing w:line="560" w:lineRule="exact"/>
        <w:jc w:val="left"/>
        <w:rPr>
          <w:rFonts w:hint="eastAsia"/>
        </w:rPr>
      </w:pPr>
      <w:r>
        <w:rPr>
          <w:b/>
          <w:bCs/>
        </w:rPr>
        <w:t>警示语</w:t>
      </w:r>
    </w:p>
    <w:p>
      <w:pPr>
        <w:spacing w:line="560" w:lineRule="exact"/>
        <w:rPr>
          <w:rFonts w:hint="eastAsia"/>
          <w:b/>
          <w:bCs/>
        </w:rPr>
      </w:pPr>
      <w:r>
        <w:rPr>
          <w:b/>
          <w:bCs/>
        </w:rPr>
        <w:t>【</w:t>
      </w:r>
      <w:r>
        <w:rPr>
          <w:rFonts w:hint="eastAsia"/>
          <w:b/>
          <w:bCs/>
        </w:rPr>
        <w:t>制剂</w:t>
      </w:r>
      <w:r>
        <w:rPr>
          <w:b/>
          <w:bCs/>
        </w:rPr>
        <w:t>名称】</w:t>
      </w:r>
    </w:p>
    <w:p>
      <w:pPr>
        <w:spacing w:line="560" w:lineRule="exact"/>
        <w:ind w:firstLine="420" w:firstLineChars="200"/>
        <w:rPr>
          <w:rFonts w:hint="eastAsia"/>
        </w:rPr>
      </w:pPr>
      <w:r>
        <w:rPr>
          <w:rFonts w:hint="eastAsia"/>
        </w:rPr>
        <w:t>中文名称：</w:t>
      </w:r>
    </w:p>
    <w:p>
      <w:pPr>
        <w:spacing w:line="560" w:lineRule="exact"/>
        <w:ind w:firstLine="420" w:firstLineChars="200"/>
        <w:rPr>
          <w:rFonts w:hint="eastAsia"/>
          <w:b/>
          <w:bCs/>
        </w:rPr>
      </w:pPr>
      <w:r>
        <w:rPr>
          <w:rFonts w:hint="eastAsia"/>
        </w:rPr>
        <w:t>汉语拼音：</w:t>
      </w:r>
      <w:r>
        <w:br w:type="textWrapping"/>
      </w:r>
      <w:r>
        <w:rPr>
          <w:b/>
          <w:bCs/>
        </w:rPr>
        <w:t>【成份】</w:t>
      </w:r>
      <w:r>
        <w:br w:type="textWrapping"/>
      </w:r>
      <w:r>
        <w:rPr>
          <w:b/>
          <w:bCs/>
        </w:rPr>
        <w:t>【性状】</w:t>
      </w:r>
      <w:r>
        <w:br w:type="textWrapping"/>
      </w:r>
      <w:r>
        <w:rPr>
          <w:b/>
          <w:bCs/>
        </w:rPr>
        <w:t>【功能主治】</w:t>
      </w:r>
      <w:r>
        <w:br w:type="textWrapping"/>
      </w:r>
      <w:r>
        <w:rPr>
          <w:b/>
          <w:bCs/>
        </w:rPr>
        <w:t>【规格】</w:t>
      </w:r>
      <w:r>
        <w:br w:type="textWrapping"/>
      </w:r>
      <w:r>
        <w:rPr>
          <w:b/>
          <w:bCs/>
        </w:rPr>
        <w:t>【用法用量】</w:t>
      </w:r>
      <w:r>
        <w:br w:type="textWrapping"/>
      </w:r>
      <w:r>
        <w:rPr>
          <w:b/>
          <w:bCs/>
        </w:rPr>
        <w:t>【不良反应】</w:t>
      </w:r>
      <w:r>
        <w:br w:type="textWrapping"/>
      </w:r>
      <w:r>
        <w:rPr>
          <w:b/>
          <w:bCs/>
        </w:rPr>
        <w:t>【禁忌】</w:t>
      </w:r>
      <w:r>
        <w:br w:type="textWrapping"/>
      </w:r>
      <w:r>
        <w:rPr>
          <w:b/>
          <w:bCs/>
        </w:rPr>
        <w:t>【注意事项】</w:t>
      </w:r>
    </w:p>
    <w:p>
      <w:pPr>
        <w:spacing w:line="560" w:lineRule="exact"/>
        <w:ind w:firstLine="0" w:firstLineChars="0"/>
        <w:rPr>
          <w:rFonts w:hint="eastAsia"/>
          <w:b/>
          <w:bCs/>
        </w:rPr>
      </w:pPr>
      <w:r>
        <w:rPr>
          <w:b/>
          <w:bCs/>
        </w:rPr>
        <w:t>【贮藏】</w:t>
      </w:r>
      <w:r>
        <w:br w:type="textWrapping"/>
      </w:r>
      <w:r>
        <w:rPr>
          <w:b/>
          <w:bCs/>
        </w:rPr>
        <w:t>【包装】</w:t>
      </w:r>
      <w:r>
        <w:br w:type="textWrapping"/>
      </w:r>
      <w:r>
        <w:rPr>
          <w:b/>
          <w:bCs/>
        </w:rPr>
        <w:t>【有效期】</w:t>
      </w:r>
      <w:r>
        <w:br w:type="textWrapping"/>
      </w:r>
      <w:r>
        <w:rPr>
          <w:b/>
          <w:bCs/>
        </w:rPr>
        <w:t>【执行标准】</w:t>
      </w:r>
      <w:r>
        <w:br w:type="textWrapping"/>
      </w:r>
      <w:r>
        <w:rPr>
          <w:b/>
          <w:bCs/>
        </w:rPr>
        <w:t>【批准文号/</w:t>
      </w:r>
      <w:r>
        <w:rPr>
          <w:rFonts w:hint="eastAsia"/>
          <w:b/>
          <w:bCs/>
        </w:rPr>
        <w:t>制剂备案号</w:t>
      </w:r>
      <w:r>
        <w:rPr>
          <w:b/>
          <w:bCs/>
        </w:rPr>
        <w:t>】</w:t>
      </w:r>
      <w:r>
        <w:br w:type="textWrapping"/>
      </w:r>
      <w:r>
        <w:rPr>
          <w:b/>
          <w:bCs/>
        </w:rPr>
        <w:t>【</w:t>
      </w:r>
      <w:r>
        <w:rPr>
          <w:rFonts w:hint="eastAsia"/>
          <w:b/>
          <w:bCs/>
        </w:rPr>
        <w:t>注册</w:t>
      </w:r>
      <w:r>
        <w:rPr>
          <w:rFonts w:hint="eastAsia"/>
          <w:b/>
          <w:bCs/>
          <w:lang w:eastAsia="zh-CN"/>
        </w:rPr>
        <w:t>单位</w:t>
      </w:r>
      <w:r>
        <w:rPr>
          <w:rFonts w:hint="eastAsia"/>
          <w:b/>
          <w:bCs/>
          <w:lang w:val="en-US" w:eastAsia="zh-CN"/>
        </w:rPr>
        <w:t>/</w:t>
      </w:r>
      <w:r>
        <w:rPr>
          <w:rFonts w:hint="eastAsia"/>
          <w:b/>
          <w:bCs/>
        </w:rPr>
        <w:t>备案单位</w:t>
      </w:r>
      <w:r>
        <w:rPr>
          <w:b/>
          <w:bCs/>
        </w:rPr>
        <w:t>】</w:t>
      </w:r>
    </w:p>
    <w:p>
      <w:pPr>
        <w:spacing w:line="560" w:lineRule="exact"/>
        <w:ind w:firstLine="420" w:firstLineChars="200"/>
        <w:rPr>
          <w:rFonts w:hint="eastAsia"/>
          <w:b w:val="0"/>
          <w:bCs w:val="0"/>
        </w:rPr>
      </w:pPr>
      <w:r>
        <w:rPr>
          <w:rFonts w:hint="eastAsia"/>
          <w:b w:val="0"/>
          <w:bCs w:val="0"/>
        </w:rPr>
        <w:t>名    称：</w:t>
      </w:r>
    </w:p>
    <w:p>
      <w:pPr>
        <w:spacing w:line="560" w:lineRule="exact"/>
        <w:rPr>
          <w:rFonts w:hint="eastAsia"/>
          <w:b w:val="0"/>
          <w:bCs w:val="0"/>
        </w:rPr>
      </w:pPr>
      <w:r>
        <w:rPr>
          <w:rFonts w:hint="eastAsia"/>
          <w:b w:val="0"/>
          <w:bCs w:val="0"/>
        </w:rPr>
        <w:t>    配制地址（</w:t>
      </w:r>
      <w:r>
        <w:rPr>
          <w:rFonts w:hint="eastAsia"/>
          <w:b w:val="0"/>
          <w:bCs w:val="0"/>
          <w:lang w:eastAsia="zh-CN"/>
        </w:rPr>
        <w:t>如委托配制，该项为</w:t>
      </w:r>
      <w:r>
        <w:rPr>
          <w:rFonts w:hint="eastAsia"/>
          <w:b w:val="0"/>
          <w:bCs w:val="0"/>
        </w:rPr>
        <w:t>地址）：</w:t>
      </w:r>
    </w:p>
    <w:p>
      <w:pPr>
        <w:spacing w:line="560" w:lineRule="exact"/>
        <w:rPr>
          <w:rFonts w:hint="eastAsia"/>
          <w:b w:val="0"/>
          <w:bCs w:val="0"/>
        </w:rPr>
      </w:pPr>
      <w:r>
        <w:rPr>
          <w:rFonts w:hint="eastAsia"/>
          <w:b w:val="0"/>
          <w:bCs w:val="0"/>
        </w:rPr>
        <w:t xml:space="preserve">    电话号码：</w:t>
      </w:r>
    </w:p>
    <w:p>
      <w:pPr>
        <w:spacing w:line="560" w:lineRule="exact"/>
        <w:rPr>
          <w:rFonts w:hint="eastAsia"/>
          <w:b w:val="0"/>
          <w:bCs w:val="0"/>
        </w:rPr>
      </w:pPr>
      <w:r>
        <w:rPr>
          <w:rFonts w:hint="eastAsia"/>
          <w:b w:val="0"/>
          <w:bCs w:val="0"/>
        </w:rPr>
        <w:t xml:space="preserve">    传真号码</w:t>
      </w:r>
      <w:r>
        <w:rPr>
          <w:rFonts w:hint="eastAsia"/>
          <w:b w:val="0"/>
          <w:bCs w:val="0"/>
          <w:lang w:eastAsia="zh-CN"/>
        </w:rPr>
        <w:t>（如有）</w:t>
      </w:r>
      <w:r>
        <w:rPr>
          <w:rFonts w:hint="eastAsia"/>
          <w:b w:val="0"/>
          <w:bCs w:val="0"/>
        </w:rPr>
        <w:t>：</w:t>
      </w:r>
    </w:p>
    <w:p>
      <w:pPr>
        <w:spacing w:line="560" w:lineRule="exact"/>
        <w:jc w:val="left"/>
        <w:rPr>
          <w:rFonts w:hint="eastAsia"/>
          <w:b/>
          <w:bCs/>
        </w:rPr>
      </w:pPr>
      <w:r>
        <w:rPr>
          <w:rFonts w:hint="eastAsia"/>
          <w:b/>
          <w:bCs/>
        </w:rPr>
        <w:t>【配制单位】（如</w:t>
      </w:r>
      <w:r>
        <w:rPr>
          <w:rFonts w:hint="eastAsia"/>
          <w:b/>
          <w:bCs/>
          <w:lang w:eastAsia="zh-CN"/>
        </w:rPr>
        <w:t>委托配制，有该项</w:t>
      </w:r>
      <w:r>
        <w:rPr>
          <w:rFonts w:hint="eastAsia"/>
          <w:b/>
          <w:bCs/>
        </w:rPr>
        <w:t>）</w:t>
      </w:r>
    </w:p>
    <w:p>
      <w:pPr>
        <w:spacing w:line="560" w:lineRule="exact"/>
        <w:ind w:firstLine="420" w:firstLineChars="200"/>
        <w:jc w:val="left"/>
        <w:rPr>
          <w:rFonts w:hint="eastAsia"/>
          <w:b w:val="0"/>
          <w:bCs w:val="0"/>
        </w:rPr>
      </w:pPr>
      <w:r>
        <w:rPr>
          <w:rFonts w:hint="eastAsia"/>
          <w:b w:val="0"/>
          <w:bCs w:val="0"/>
        </w:rPr>
        <w:t>名    称:</w:t>
      </w:r>
    </w:p>
    <w:p>
      <w:pPr>
        <w:spacing w:line="560" w:lineRule="exact"/>
        <w:ind w:firstLine="420" w:firstLineChars="200"/>
        <w:jc w:val="left"/>
        <w:rPr>
          <w:rFonts w:hint="eastAsia"/>
          <w:b w:val="0"/>
          <w:bCs w:val="0"/>
        </w:rPr>
      </w:pPr>
      <w:r>
        <w:rPr>
          <w:rFonts w:hint="eastAsia"/>
          <w:b w:val="0"/>
          <w:bCs w:val="0"/>
        </w:rPr>
        <w:t>配制地址:</w:t>
      </w:r>
    </w:p>
    <w:p>
      <w:pPr>
        <w:spacing w:line="560" w:lineRule="exact"/>
        <w:ind w:firstLine="420" w:firstLineChars="200"/>
        <w:jc w:val="left"/>
        <w:rPr>
          <w:rFonts w:hint="eastAsia"/>
          <w:b w:val="0"/>
          <w:bCs w:val="0"/>
        </w:rPr>
      </w:pPr>
      <w:r>
        <w:rPr>
          <w:rFonts w:hint="eastAsia"/>
          <w:b w:val="0"/>
          <w:bCs w:val="0"/>
        </w:rPr>
        <w:t>电话号码:</w:t>
      </w:r>
    </w:p>
    <w:p>
      <w:pPr>
        <w:spacing w:line="560" w:lineRule="exact"/>
        <w:ind w:firstLine="420" w:firstLineChars="200"/>
        <w:jc w:val="left"/>
        <w:rPr>
          <w:rFonts w:hint="eastAsia"/>
          <w:b w:val="0"/>
          <w:bCs w:val="0"/>
        </w:rPr>
      </w:pPr>
      <w:r>
        <w:rPr>
          <w:rFonts w:hint="eastAsia"/>
          <w:b w:val="0"/>
          <w:bCs w:val="0"/>
        </w:rPr>
        <w:t>传真号码</w:t>
      </w:r>
      <w:r>
        <w:rPr>
          <w:rFonts w:hint="eastAsia"/>
          <w:lang w:eastAsia="zh-CN"/>
        </w:rPr>
        <w:t>（如有）</w:t>
      </w:r>
      <w:r>
        <w:rPr>
          <w:rFonts w:hint="eastAsia"/>
          <w:b w:val="0"/>
          <w:bCs w:val="0"/>
        </w:rPr>
        <w:t>：</w:t>
      </w:r>
    </w:p>
    <w:p>
      <w:pPr>
        <w:spacing w:line="560" w:lineRule="exact"/>
        <w:jc w:val="center"/>
        <w:rPr>
          <w:rFonts w:hint="eastAsia"/>
        </w:rPr>
      </w:pPr>
      <w:r>
        <w:rPr>
          <w:b/>
          <w:bCs/>
        </w:rPr>
        <w:t>本制剂仅限本医疗机构使用</w:t>
      </w:r>
    </w:p>
    <w:p>
      <w:pPr>
        <w:spacing w:line="560" w:lineRule="exact"/>
        <w:ind w:firstLine="960" w:firstLineChars="300"/>
        <w:rPr>
          <w:rFonts w:hint="eastAsia" w:ascii="黑体" w:hAnsi="黑体" w:eastAsia="黑体"/>
          <w:sz w:val="32"/>
          <w:szCs w:val="32"/>
        </w:rPr>
      </w:pPr>
      <w:r>
        <w:rPr>
          <w:rFonts w:hint="eastAsia" w:ascii="黑体" w:hAnsi="黑体" w:eastAsia="黑体"/>
          <w:sz w:val="32"/>
          <w:szCs w:val="32"/>
        </w:rPr>
        <w:t>四、各项内容规范细则与书写要求</w:t>
      </w:r>
    </w:p>
    <w:p>
      <w:pPr>
        <w:spacing w:line="560" w:lineRule="exact"/>
        <w:ind w:firstLine="643" w:firstLineChars="200"/>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1.</w:t>
      </w:r>
      <w:r>
        <w:rPr>
          <w:rFonts w:hint="eastAsia" w:ascii="仿宋_GB2312" w:hAnsi="仿宋_GB2312" w:eastAsia="仿宋_GB2312" w:cs="仿宋_GB2312"/>
          <w:b/>
          <w:bCs/>
          <w:sz w:val="32"/>
          <w:szCs w:val="32"/>
        </w:rPr>
        <w:t>核准日期与修改日期</w:t>
      </w:r>
    </w:p>
    <w:p>
      <w:pPr>
        <w:spacing w:line="560" w:lineRule="exact"/>
        <w:ind w:firstLine="643" w:firstLineChars="200"/>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rPr>
        <w:t>1.1</w:t>
      </w:r>
      <w:r>
        <w:rPr>
          <w:rFonts w:hint="eastAsia" w:ascii="仿宋_GB2312" w:hAnsi="仿宋_GB2312" w:eastAsia="仿宋_GB2312" w:cs="仿宋_GB2312"/>
          <w:b/>
          <w:bCs/>
          <w:sz w:val="32"/>
          <w:szCs w:val="32"/>
        </w:rPr>
        <w:t>规范细则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核准日期指本说明书首次经药品监督管理部门核准的日期。</w:t>
      </w:r>
      <w:r>
        <w:rPr>
          <w:rFonts w:hint="eastAsia" w:ascii="仿宋_GB2312" w:hAnsi="仿宋_GB2312" w:eastAsia="仿宋_GB2312" w:cs="仿宋_GB2312"/>
          <w:sz w:val="32"/>
          <w:szCs w:val="32"/>
          <w:lang w:eastAsia="zh-CN"/>
        </w:rPr>
        <w:t>应用传统工艺配制中药制剂备案的品种</w:t>
      </w:r>
      <w:r>
        <w:rPr>
          <w:rFonts w:hint="eastAsia" w:ascii="仿宋_GB2312" w:hAnsi="仿宋_GB2312" w:eastAsia="仿宋_GB2312" w:cs="仿宋_GB2312"/>
          <w:sz w:val="32"/>
          <w:szCs w:val="32"/>
        </w:rPr>
        <w:t>使用备案日期。修改日期指说明书内容修订后最近一次被核准的日期。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“修改日期”仅适用于实质性内容修订，格式调整或文字勘误不纳入修改日期变更范围。</w:t>
      </w:r>
    </w:p>
    <w:p>
      <w:pPr>
        <w:spacing w:line="560" w:lineRule="exact"/>
        <w:ind w:firstLine="643" w:firstLineChars="200"/>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rPr>
        <w:t>2.1</w:t>
      </w:r>
      <w:r>
        <w:rPr>
          <w:rFonts w:hint="eastAsia" w:ascii="仿宋_GB2312" w:hAnsi="仿宋_GB2312" w:eastAsia="仿宋_GB2312" w:cs="仿宋_GB2312"/>
          <w:b/>
          <w:bCs/>
          <w:sz w:val="32"/>
          <w:szCs w:val="32"/>
        </w:rPr>
        <w:t>书写要求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核准日期应印制在说明书首页左上角。修改日期位于核准日期下方。进行过多次修改的，仅列最后一次的修改日期；未进行修改的，可不列修改日期。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表示方法应按照年、月、日的顺序标注，年份用</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位数字表示，月、日用</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位数表示。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其具体标注格式为：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核准日期：</w:t>
      </w:r>
      <w:r>
        <w:rPr>
          <w:rFonts w:hint="default" w:ascii="Times New Roman" w:hAnsi="Times New Roman" w:eastAsia="仿宋_GB2312" w:cs="Times New Roman"/>
          <w:sz w:val="32"/>
          <w:szCs w:val="32"/>
        </w:rPr>
        <w:t>XXXX年XX月XX日或XXXX.XX.XX</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X</w:t>
      </w:r>
      <w:r>
        <w:rPr>
          <w:rFonts w:hint="eastAsia" w:ascii="仿宋_GB2312" w:hAnsi="仿宋_GB2312" w:eastAsia="仿宋_GB2312" w:cs="仿宋_GB2312"/>
          <w:sz w:val="32"/>
          <w:szCs w:val="32"/>
        </w:rPr>
        <w:t>用阿拉伯数字表示，下同）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修订日期：</w:t>
      </w:r>
      <w:r>
        <w:rPr>
          <w:rFonts w:hint="default" w:ascii="Times New Roman" w:hAnsi="Times New Roman" w:eastAsia="仿宋_GB2312" w:cs="Times New Roman"/>
          <w:sz w:val="32"/>
          <w:szCs w:val="32"/>
        </w:rPr>
        <w:t>XXXX年XX月XX日或XXXX.XX.XX。</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2.外用</w:t>
      </w:r>
      <w:r>
        <w:rPr>
          <w:rFonts w:hint="default" w:ascii="Times New Roman" w:hAnsi="Times New Roman" w:eastAsia="仿宋_GB2312" w:cs="Times New Roman"/>
          <w:b/>
          <w:bCs/>
          <w:sz w:val="32"/>
          <w:szCs w:val="32"/>
          <w:lang w:eastAsia="zh-CN"/>
        </w:rPr>
        <w:t>制剂</w:t>
      </w:r>
      <w:r>
        <w:rPr>
          <w:rFonts w:hint="default" w:ascii="Times New Roman" w:hAnsi="Times New Roman" w:eastAsia="仿宋_GB2312" w:cs="Times New Roman"/>
          <w:b/>
          <w:bCs/>
          <w:sz w:val="32"/>
          <w:szCs w:val="32"/>
        </w:rPr>
        <w:t>标识</w:t>
      </w:r>
    </w:p>
    <w:p>
      <w:pPr>
        <w:numPr>
          <w:ilvl w:val="-1"/>
          <w:numId w:val="0"/>
        </w:numPr>
        <w:spacing w:line="560" w:lineRule="exact"/>
        <w:ind w:left="0"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2.1规范细则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外用</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专用标识应在说明书中标注。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凡国家标准中用法项下规定只可外用，不可口服、注射、滴入或吸入，仅用于体表或某些特定粘膜部位的液体、半固体或固体制剂，均需标注外用</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标识。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对于既可内服，又可外用的制剂，可不标注外用</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标识。</w:t>
      </w:r>
    </w:p>
    <w:p>
      <w:pPr>
        <w:pStyle w:val="41"/>
        <w:spacing w:line="560" w:lineRule="exact"/>
        <w:ind w:left="0"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2.2书写要求</w:t>
      </w:r>
    </w:p>
    <w:p>
      <w:pPr>
        <w:pStyle w:val="41"/>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外用</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专用标识在说明书首页右上方标注。</w:t>
      </w:r>
    </w:p>
    <w:p>
      <w:pPr>
        <w:pStyle w:val="41"/>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外用</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标识为红色方框底色内标注白色“外”字，样式：外。</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标签中的外用药标识应当彩色印制，说明书中的外用</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标识可以单色印制。</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3.说明书标题</w:t>
      </w:r>
    </w:p>
    <w:p>
      <w:pPr>
        <w:numPr>
          <w:ilvl w:val="255"/>
          <w:numId w:val="0"/>
        </w:numPr>
        <w:spacing w:line="560" w:lineRule="exact"/>
        <w:ind w:firstLine="643" w:firstLineChars="200"/>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rPr>
        <w:t>3.1规范细则</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XXX</w:t>
      </w:r>
      <w:r>
        <w:rPr>
          <w:rFonts w:hint="eastAsia" w:ascii="仿宋_GB2312" w:hAnsi="仿宋_GB2312" w:eastAsia="仿宋_GB2312" w:cs="仿宋_GB2312"/>
          <w:sz w:val="32"/>
          <w:szCs w:val="32"/>
        </w:rPr>
        <w:t>说明书”中的“</w:t>
      </w:r>
      <w:r>
        <w:rPr>
          <w:rFonts w:hint="default" w:ascii="Times New Roman" w:hAnsi="Times New Roman" w:eastAsia="仿宋_GB2312" w:cs="Times New Roman"/>
          <w:sz w:val="32"/>
          <w:szCs w:val="32"/>
        </w:rPr>
        <w:t>XXX</w:t>
      </w:r>
      <w:r>
        <w:rPr>
          <w:rFonts w:hint="eastAsia" w:ascii="仿宋_GB2312" w:hAnsi="仿宋_GB2312" w:eastAsia="仿宋_GB2312" w:cs="仿宋_GB2312"/>
          <w:sz w:val="32"/>
          <w:szCs w:val="32"/>
        </w:rPr>
        <w:t>”是指该制剂的中文名称。应注明“请仔细阅读说明书并在医师指导下使用”。</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3.2书写要求</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XXX</w:t>
      </w:r>
      <w:r>
        <w:rPr>
          <w:rFonts w:hint="eastAsia" w:ascii="仿宋_GB2312" w:hAnsi="仿宋_GB2312" w:eastAsia="仿宋_GB2312" w:cs="仿宋_GB2312"/>
          <w:sz w:val="32"/>
          <w:szCs w:val="32"/>
        </w:rPr>
        <w:t>说明书”中的“</w:t>
      </w:r>
      <w:r>
        <w:rPr>
          <w:rFonts w:hint="default" w:ascii="Times New Roman" w:hAnsi="Times New Roman" w:eastAsia="仿宋_GB2312" w:cs="Times New Roman"/>
          <w:sz w:val="32"/>
          <w:szCs w:val="32"/>
        </w:rPr>
        <w:t>XXX</w:t>
      </w:r>
      <w:r>
        <w:rPr>
          <w:rFonts w:hint="eastAsia" w:ascii="仿宋_GB2312" w:hAnsi="仿宋_GB2312" w:eastAsia="仿宋_GB2312" w:cs="仿宋_GB2312"/>
          <w:sz w:val="32"/>
          <w:szCs w:val="32"/>
        </w:rPr>
        <w:t>”必须与批准证明文件或备案凭证中的名称一致。</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4.警示语</w:t>
      </w:r>
    </w:p>
    <w:p>
      <w:pPr>
        <w:numPr>
          <w:ilvl w:val="-1"/>
          <w:numId w:val="0"/>
        </w:num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4.1规范细则</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警示语是对</w:t>
      </w:r>
      <w:r>
        <w:rPr>
          <w:rFonts w:hint="eastAsia" w:ascii="仿宋_GB2312" w:hAnsi="仿宋_GB2312" w:eastAsia="仿宋_GB2312" w:cs="仿宋_GB2312"/>
          <w:sz w:val="32"/>
          <w:szCs w:val="32"/>
          <w:lang w:eastAsia="zh-CN"/>
        </w:rPr>
        <w:t>制剂的</w:t>
      </w:r>
      <w:r>
        <w:rPr>
          <w:rFonts w:hint="eastAsia" w:ascii="仿宋_GB2312" w:hAnsi="仿宋_GB2312" w:eastAsia="仿宋_GB2312" w:cs="仿宋_GB2312"/>
          <w:sz w:val="32"/>
          <w:szCs w:val="32"/>
        </w:rPr>
        <w:t>严重不良反应、潜在安全性问题、重要禁忌等的强烈警告。例如，含有现代医学公认有剧毒成份的制剂，应在此处明确警示。</w:t>
      </w:r>
    </w:p>
    <w:p>
      <w:pPr>
        <w:pStyle w:val="41"/>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含有化学药品（维生素类除外）的中药复方制剂，应注明本品含</w:t>
      </w:r>
      <w:r>
        <w:rPr>
          <w:rFonts w:hint="default" w:ascii="Times New Roman" w:hAnsi="Times New Roman" w:eastAsia="仿宋_GB2312" w:cs="Times New Roman"/>
          <w:sz w:val="32"/>
          <w:szCs w:val="32"/>
        </w:rPr>
        <w:t>X X（</w:t>
      </w:r>
      <w:r>
        <w:rPr>
          <w:rFonts w:hint="eastAsia" w:ascii="仿宋_GB2312" w:hAnsi="仿宋_GB2312" w:eastAsia="仿宋_GB2312" w:cs="仿宋_GB2312"/>
          <w:sz w:val="32"/>
          <w:szCs w:val="32"/>
        </w:rPr>
        <w:t>化学药品通用名称），每单位剂量含</w:t>
      </w:r>
      <w:r>
        <w:rPr>
          <w:rFonts w:hint="default" w:ascii="Times New Roman" w:hAnsi="Times New Roman" w:eastAsia="仿宋_GB2312" w:cs="Times New Roman"/>
          <w:sz w:val="32"/>
          <w:szCs w:val="32"/>
        </w:rPr>
        <w:t>××mg</w:t>
      </w:r>
      <w:r>
        <w:rPr>
          <w:rFonts w:hint="eastAsia" w:ascii="仿宋_GB2312" w:hAnsi="仿宋_GB2312" w:eastAsia="仿宋_GB2312" w:cs="仿宋_GB2312"/>
          <w:sz w:val="32"/>
          <w:szCs w:val="32"/>
        </w:rPr>
        <w:t>。</w:t>
      </w:r>
    </w:p>
    <w:p>
      <w:pPr>
        <w:pStyle w:val="41"/>
        <w:numPr>
          <w:ilvl w:val="255"/>
          <w:numId w:val="0"/>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在该项下，应注明制剂的严重不良反应、潜在的危险、使用上的限制，以及一旦发生严重不良反应应采取的措施。如果有合理的证据证明某种危险与该制剂的使用有关, 应在说明书中注明这一警告。</w:t>
      </w:r>
    </w:p>
    <w:p>
      <w:pPr>
        <w:pStyle w:val="41"/>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将特殊的情况尤其是可能导致死亡或严重损伤的情况用醒目的文字列出。警告通常以临床数据为基础，如果缺少临床数据，也可以用动物的严重毒性试验数据。必须包含以黑体形式出现的“警告”的文字标题，以表达其信息的重要性。如果其涉及危险性的信息内容很多，其详细的信息资料应该用黑体字的形式在说明书的相应部分说明（如【禁忌】、【不良反应】或【注意事项】）。而警告中的警示必须告知其详细所在的位置。警示语不能含有任何提示或暗含宣传本制剂的作用，也不能有变相宣传其他产品的作用。</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4.2书写要求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有则必须标注，且应当在说明书标题下以醒目的黑体字注，无此方面内容可不列此项。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一般可从以下几方面考虑：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重要的禁忌；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临床应用中可能出现的严重的不良反应以及如果发生严重不良反应应采取的措施；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特殊用药的注意事项；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组方中含有较大毒性或配伍禁忌的</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需要特殊说明的其他问题。</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w:t>
      </w:r>
      <w:r>
        <w:rPr>
          <w:rFonts w:hint="default" w:ascii="Times New Roman" w:hAnsi="Times New Roman" w:eastAsia="仿宋_GB2312" w:cs="Times New Roman"/>
          <w:b/>
          <w:bCs/>
          <w:sz w:val="32"/>
          <w:szCs w:val="32"/>
          <w:lang w:eastAsia="zh-CN"/>
        </w:rPr>
        <w:t>制剂</w:t>
      </w:r>
      <w:r>
        <w:rPr>
          <w:rFonts w:hint="default" w:ascii="Times New Roman" w:hAnsi="Times New Roman" w:eastAsia="仿宋_GB2312" w:cs="Times New Roman"/>
          <w:b/>
          <w:bCs/>
          <w:sz w:val="32"/>
          <w:szCs w:val="32"/>
        </w:rPr>
        <w:t>名称</w:t>
      </w:r>
    </w:p>
    <w:p>
      <w:pPr>
        <w:numPr>
          <w:ilvl w:val="-1"/>
          <w:numId w:val="0"/>
        </w:num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5.1规范细则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中文</w:t>
      </w:r>
      <w:r>
        <w:rPr>
          <w:rFonts w:hint="eastAsia" w:ascii="仿宋_GB2312" w:hAnsi="仿宋_GB2312" w:eastAsia="仿宋_GB2312" w:cs="仿宋_GB2312"/>
          <w:sz w:val="32"/>
          <w:szCs w:val="32"/>
        </w:rPr>
        <w:t>名称”和“汉语拼音”。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中文</w:t>
      </w:r>
      <w:r>
        <w:rPr>
          <w:rFonts w:hint="eastAsia" w:ascii="仿宋_GB2312" w:hAnsi="仿宋_GB2312" w:eastAsia="仿宋_GB2312" w:cs="仿宋_GB2312"/>
          <w:sz w:val="32"/>
          <w:szCs w:val="32"/>
        </w:rPr>
        <w:t>名称必须与制剂法定标准（如《天津市医疗机构制剂规范》）中收载的名称一致。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新申请的制剂名称必须符合《天津市医疗机构中药制剂通用名称命名技术指导原则》。</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5.2书写要求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汉语拼音：</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-分词连写：汉语拼音应遵循汉语词语的构成，将复合词、固定词组（如“清热”、“解毒”、“口服液”）作为一个整体连写。每个连写部分之间以一个字符的空格分隔。</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-字母大小写：每个连写部分的首字母大写，其余字母小写。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-多音字：应根据</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名称在中医药领域的特定读音标注，参照《中国药典》或法定</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-隔音符号：当音节连接处可能发生混淆时（如前字韵尾与后字声母为</w:t>
      </w:r>
      <w:r>
        <w:rPr>
          <w:rFonts w:hint="default" w:ascii="Times New Roman" w:hAnsi="Times New Roman" w:eastAsia="仿宋_GB2312" w:cs="Times New Roman"/>
          <w:sz w:val="32"/>
          <w:szCs w:val="32"/>
        </w:rPr>
        <w:t>a, o, e</w:t>
      </w:r>
      <w:r>
        <w:rPr>
          <w:rFonts w:hint="eastAsia" w:ascii="仿宋_GB2312" w:hAnsi="仿宋_GB2312" w:eastAsia="仿宋_GB2312" w:cs="仿宋_GB2312"/>
          <w:sz w:val="32"/>
          <w:szCs w:val="32"/>
        </w:rPr>
        <w:t>），应使用隔音符号(')。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-儿化音：名称中的“儿”字拼音写作 r（如：</w:t>
      </w:r>
      <w:r>
        <w:rPr>
          <w:rFonts w:hint="default" w:ascii="Times New Roman" w:hAnsi="Times New Roman" w:eastAsia="仿宋_GB2312" w:cs="Times New Roman"/>
          <w:sz w:val="32"/>
          <w:szCs w:val="32"/>
        </w:rPr>
        <w:t>Xingrenr</w:t>
      </w:r>
      <w:r>
        <w:rPr>
          <w:rFonts w:hint="eastAsia" w:ascii="仿宋_GB2312" w:hAnsi="仿宋_GB2312" w:eastAsia="仿宋_GB2312" w:cs="仿宋_GB2312"/>
          <w:sz w:val="32"/>
          <w:szCs w:val="32"/>
        </w:rPr>
        <w:t>）。</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6.成份</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6.1规范细则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成份系指处方所含的药味、有效部位或有效成份等。</w:t>
      </w:r>
      <w:r>
        <w:rPr>
          <w:rFonts w:hint="eastAsia" w:ascii="仿宋_GB2312" w:hAnsi="仿宋_GB2312" w:eastAsia="仿宋_GB2312" w:cs="仿宋_GB2312"/>
          <w:sz w:val="32"/>
          <w:szCs w:val="32"/>
          <w:lang w:eastAsia="zh-CN"/>
        </w:rPr>
        <w:t>成份</w:t>
      </w:r>
      <w:r>
        <w:rPr>
          <w:rFonts w:hint="eastAsia" w:ascii="仿宋_GB2312" w:hAnsi="仿宋_GB2312" w:eastAsia="仿宋_GB2312" w:cs="仿宋_GB2312"/>
          <w:sz w:val="32"/>
          <w:szCs w:val="32"/>
        </w:rPr>
        <w:t>应列出全部药味、有效部位或有效</w:t>
      </w:r>
      <w:r>
        <w:rPr>
          <w:rFonts w:hint="eastAsia" w:ascii="仿宋_GB2312" w:hAnsi="仿宋_GB2312" w:eastAsia="仿宋_GB2312" w:cs="仿宋_GB2312"/>
          <w:sz w:val="32"/>
          <w:szCs w:val="32"/>
          <w:lang w:eastAsia="zh-CN"/>
        </w:rPr>
        <w:t>成分</w:t>
      </w:r>
      <w:r>
        <w:rPr>
          <w:rFonts w:hint="eastAsia" w:ascii="仿宋_GB2312" w:hAnsi="仿宋_GB2312" w:eastAsia="仿宋_GB2312" w:cs="仿宋_GB2312"/>
          <w:sz w:val="32"/>
          <w:szCs w:val="32"/>
        </w:rPr>
        <w:t>等，不得隐瞒或省略。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成份的名称应与该制剂质量标准中【处方】项下的规范名称一致。</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6.2书写要求</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关于处方药味的排序，中药复方制剂药味或成份的排列顺序需符合中医药的组方原则，能够体现</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的基本功效。中西药复方制剂，药味排序应先列出中药，后列出化学药。</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处方中的药味本身为法定复方成方制剂（如“黔曲”），可只写该复方名称，不必列出其具体组成。</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处方中含有国家规定禁用或取消的品种（如关木通），应按批准或备案文件，以实际代用的药味表示。</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处方中含有可能引起严重不良反应的辅料的，在该项下也应列出该辅料名称。</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处方已列入国家/天津秘密技术项目或为中药一级保护品种的，可不列此项，但需有相应证明文件支持。</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7.性状</w:t>
      </w:r>
    </w:p>
    <w:p>
      <w:pPr>
        <w:numPr>
          <w:ilvl w:val="-1"/>
          <w:numId w:val="0"/>
        </w:num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7.1规范细则</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应与制剂法定标准中的性状一致，包括</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的外观、气、味等。</w:t>
      </w:r>
    </w:p>
    <w:p>
      <w:pPr>
        <w:numPr>
          <w:ilvl w:val="-1"/>
          <w:numId w:val="0"/>
        </w:num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7.2书写要求</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按颜色、外形、气、味依次规范描述。例如：“本品为棕褐色的颗粒；气微香，味甜、微苦。”避免使用“无色”、“无味”等不准确描述，应为“几乎无色”、“气味微弱”等。</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8.功能主治</w:t>
      </w:r>
    </w:p>
    <w:p>
      <w:pPr>
        <w:numPr>
          <w:ilvl w:val="-1"/>
          <w:numId w:val="0"/>
        </w:num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8.1规范细则</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必须与制剂法定标准中的功能主治完全一致，不得超出批准或备案的范围。</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能主治应注意中医病名、西医病名、中医证候、中西医临床症状和体征的规范表述，注意用于疾病治疗、证候治疗和症状治疗在表述上的区别，注意区分疾病治疗、缓解或减轻症状、辅助治疗、联合用药的不同。</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注意该制剂作用特点的说明，如用于缓解急性发作、或降低发作频率等。</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功能主治应注意根据临床试验的结果说明适用病证的病情、分期、分型的限定等，以全面反映临床试验的结果。</w:t>
      </w:r>
    </w:p>
    <w:p>
      <w:pPr>
        <w:numPr>
          <w:ilvl w:val="-1"/>
          <w:numId w:val="0"/>
        </w:num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8.2书写要求</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该项内容是说明书中最重要的内容之一，一般包括</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的功能与主治两部分，之间以句号分开。</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功能：应根据处方组成和中医药理论，结合和临床试验结果，使用规范的中医药术语表述。</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主治：应有相应的中医证候或病机表述，并可包括相应的症状和体征。表述应科学、严谨，避免生僻或易误解的概念。</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9.规格</w:t>
      </w:r>
    </w:p>
    <w:p>
      <w:pPr>
        <w:numPr>
          <w:ilvl w:val="255"/>
          <w:numId w:val="0"/>
        </w:num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9.1规范细则</w:t>
      </w:r>
    </w:p>
    <w:p>
      <w:pPr>
        <w:pStyle w:val="41"/>
        <w:numPr>
          <w:ilvl w:val="255"/>
          <w:numId w:val="0"/>
        </w:numPr>
        <w:spacing w:line="560" w:lineRule="exact"/>
        <w:ind w:firstLine="640" w:firstLineChars="200"/>
        <w:rPr>
          <w:rFonts w:hint="default" w:ascii="Times New Roman" w:hAnsi="Times New Roman" w:eastAsia="仿宋_GB2312" w:cs="Times New Roman"/>
          <w:b/>
          <w:bCs/>
          <w:sz w:val="32"/>
          <w:szCs w:val="32"/>
        </w:rPr>
      </w:pPr>
      <w:r>
        <w:rPr>
          <w:rFonts w:hint="eastAsia" w:ascii="仿宋_GB2312" w:hAnsi="仿宋_GB2312" w:eastAsia="仿宋_GB2312" w:cs="仿宋_GB2312"/>
          <w:sz w:val="32"/>
          <w:szCs w:val="32"/>
        </w:rPr>
        <w:t>应与制剂法定标准中的规格一致。同一制剂不同规格应使用不同的说明书。</w:t>
      </w:r>
    </w:p>
    <w:p>
      <w:pPr>
        <w:pStyle w:val="41"/>
        <w:numPr>
          <w:ilvl w:val="255"/>
          <w:numId w:val="0"/>
        </w:num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9.2书写要求 </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表示方法应按《中国药典》或《天津市医疗机构中药制剂规格表述技术指导原则》的规范执行。</w:t>
      </w:r>
    </w:p>
    <w:p>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单位使用国际单位（g, mg, mL等）或药典认可的规范单位。</w:t>
      </w:r>
    </w:p>
    <w:p>
      <w:pPr>
        <w:numPr>
          <w:ilvl w:val="-1"/>
          <w:numId w:val="0"/>
        </w:numPr>
        <w:spacing w:line="560" w:lineRule="exact"/>
        <w:ind w:left="598" w:leftChars="285" w:firstLine="0" w:firstLineChars="0"/>
        <w:rPr>
          <w:rFonts w:hint="eastAsia" w:ascii="仿宋_GB2312" w:hAnsi="仿宋_GB2312" w:eastAsia="仿宋_GB2312" w:cs="仿宋_GB2312"/>
          <w:b/>
          <w:bCs/>
          <w:sz w:val="32"/>
          <w:szCs w:val="32"/>
        </w:rPr>
      </w:pPr>
      <w:r>
        <w:rPr>
          <w:rFonts w:hint="default" w:ascii="Times New Roman" w:hAnsi="Times New Roman" w:eastAsia="方正小标宋简体" w:cs="Times New Roman"/>
          <w:b/>
          <w:bCs/>
          <w:sz w:val="32"/>
          <w:szCs w:val="32"/>
          <w:lang w:val="en-US" w:eastAsia="zh-CN"/>
        </w:rPr>
        <w:t>10.</w:t>
      </w:r>
      <w:r>
        <w:rPr>
          <w:rFonts w:hint="eastAsia" w:ascii="仿宋_GB2312" w:hAnsi="仿宋_GB2312" w:eastAsia="仿宋_GB2312" w:cs="仿宋_GB2312"/>
          <w:b/>
          <w:bCs/>
          <w:sz w:val="32"/>
          <w:szCs w:val="32"/>
        </w:rPr>
        <w:t>用法用量</w:t>
      </w:r>
      <w:r>
        <w:rPr>
          <w:rFonts w:hint="eastAsia" w:ascii="仿宋_GB2312" w:hAnsi="仿宋_GB2312" w:eastAsia="仿宋_GB2312" w:cs="仿宋_GB2312"/>
          <w:b/>
          <w:bCs/>
          <w:sz w:val="32"/>
          <w:szCs w:val="32"/>
        </w:rPr>
        <w:br w:type="textWrapping"/>
      </w:r>
      <w:r>
        <w:rPr>
          <w:rFonts w:hint="default" w:ascii="Times New Roman" w:hAnsi="Times New Roman" w:eastAsia="仿宋_GB2312" w:cs="Times New Roman"/>
          <w:b/>
          <w:bCs/>
          <w:sz w:val="32"/>
          <w:szCs w:val="32"/>
        </w:rPr>
        <w:t>10.1</w:t>
      </w:r>
      <w:r>
        <w:rPr>
          <w:rFonts w:hint="eastAsia" w:ascii="仿宋_GB2312" w:hAnsi="仿宋_GB2312" w:eastAsia="仿宋_GB2312" w:cs="仿宋_GB2312"/>
          <w:b/>
          <w:bCs/>
          <w:sz w:val="32"/>
          <w:szCs w:val="32"/>
        </w:rPr>
        <w:t>规范细则</w:t>
      </w:r>
    </w:p>
    <w:p>
      <w:pPr>
        <w:numPr>
          <w:ilvl w:val="255"/>
          <w:numId w:val="0"/>
        </w:numPr>
        <w:spacing w:line="560" w:lineRule="exact"/>
        <w:ind w:left="638" w:leftChars="304"/>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必须与制剂法定标准中的用法用量一致。</w:t>
      </w:r>
      <w:r>
        <w:rPr>
          <w:rFonts w:hint="eastAsia" w:ascii="仿宋_GB2312" w:hAnsi="仿宋_GB2312" w:eastAsia="仿宋_GB2312" w:cs="仿宋_GB2312"/>
          <w:sz w:val="32"/>
          <w:szCs w:val="32"/>
        </w:rPr>
        <w:br w:type="textWrapping"/>
      </w:r>
      <w:r>
        <w:rPr>
          <w:rFonts w:hint="default" w:ascii="Times New Roman" w:hAnsi="Times New Roman" w:eastAsia="仿宋_GB2312" w:cs="Times New Roman"/>
          <w:b/>
          <w:bCs/>
          <w:sz w:val="32"/>
          <w:szCs w:val="32"/>
        </w:rPr>
        <w:t>10.2</w:t>
      </w:r>
      <w:r>
        <w:rPr>
          <w:rFonts w:hint="eastAsia" w:ascii="仿宋_GB2312" w:hAnsi="仿宋_GB2312" w:eastAsia="仿宋_GB2312" w:cs="仿宋_GB2312"/>
          <w:b/>
          <w:bCs/>
          <w:sz w:val="32"/>
          <w:szCs w:val="32"/>
        </w:rPr>
        <w:t>书写要求</w:t>
      </w:r>
    </w:p>
    <w:p>
      <w:pPr>
        <w:spacing w:line="560" w:lineRule="exact"/>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一般包括用法和用量两部分，之间以句号分开。有规范的临床试验者，应根据临床试验结果说明临床推荐使用的</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的用法和用量。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用法：应明确给药途径（口服、外用等）、给药方式（温开水送服、含服、调敷等）、给药时间（饭前、饭后、睡前等）。对于特殊制剂（如需药引、煎煮、兑服、外用涂擦），应详细说明。</w:t>
      </w:r>
    </w:p>
    <w:p>
      <w:pPr>
        <w:spacing w:line="560" w:lineRule="exact"/>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给药前的</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处理,需要根据临床实际详细描述，尤其不太常用的方法、外用药及其他特殊制剂，如临床应用前的稀释、配制、分剂量等步骤和方法应详细说明。</w:t>
      </w:r>
    </w:p>
    <w:p>
      <w:pPr>
        <w:spacing w:line="560" w:lineRule="exact"/>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给药途径、给药方式和给药前的药物处理方法可在一起表述，如舌下含服。</w:t>
      </w:r>
    </w:p>
    <w:p>
      <w:p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穴位给药,需要说明具体的选穴原则和具体操作方法。</w:t>
      </w:r>
    </w:p>
    <w:p>
      <w:pPr>
        <w:spacing w:line="560" w:lineRule="exact"/>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部分制剂用法需要由医护人员、甚至需要专科医师才能实施的，应在说明书的该项中特别予以说明。</w:t>
      </w:r>
    </w:p>
    <w:p>
      <w:pPr>
        <w:spacing w:line="560" w:lineRule="exact"/>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同一制剂不同的适应症、不同的年龄段，其用法不完全一致的，须在用法项分别说明。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用量：应以“一次××（或××～××）（单位，如</w:t>
      </w:r>
      <w:r>
        <w:rPr>
          <w:rFonts w:hint="default" w:ascii="Times New Roman" w:hAnsi="Times New Roman" w:eastAsia="仿宋_GB2312" w:cs="Times New Roman"/>
          <w:sz w:val="32"/>
          <w:szCs w:val="32"/>
        </w:rPr>
        <w:t>g</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mL</w:t>
      </w:r>
      <w:r>
        <w:rPr>
          <w:rFonts w:hint="eastAsia" w:ascii="仿宋_GB2312" w:hAnsi="仿宋_GB2312" w:eastAsia="仿宋_GB2312" w:cs="仿宋_GB2312"/>
          <w:sz w:val="32"/>
          <w:szCs w:val="32"/>
        </w:rPr>
        <w:t>、片、丸等），一日×（或×～×）次”表示。不能用“/次”、“/日”或英文字母“</w:t>
      </w:r>
      <w:r>
        <w:rPr>
          <w:rFonts w:hint="default" w:ascii="Times New Roman" w:hAnsi="Times New Roman" w:eastAsia="仿宋_GB2312" w:cs="Times New Roman"/>
          <w:sz w:val="32"/>
          <w:szCs w:val="32"/>
        </w:rPr>
        <w:t>d</w:t>
      </w:r>
      <w:r>
        <w:rPr>
          <w:rFonts w:hint="eastAsia" w:ascii="仿宋_GB2312" w:hAnsi="仿宋_GB2312" w:eastAsia="仿宋_GB2312" w:cs="仿宋_GB2312"/>
          <w:sz w:val="32"/>
          <w:szCs w:val="32"/>
        </w:rPr>
        <w:t>”代替“日”。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特殊用量应根据临床试验的用法用量如实说明。其中的××需要用阿拉伯数字表示。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儿童、老年人等特殊人群如需调整剂量，应予以说明。如按体重或体表面积计算，面积一次××/</w:t>
      </w:r>
      <w:r>
        <w:rPr>
          <w:rFonts w:hint="default" w:ascii="Times New Roman" w:hAnsi="Times New Roman" w:eastAsia="仿宋_GB2312" w:cs="Times New Roman"/>
          <w:sz w:val="32"/>
          <w:szCs w:val="32"/>
        </w:rPr>
        <w:t>m2</w:t>
      </w:r>
      <w:r>
        <w:rPr>
          <w:rFonts w:hint="eastAsia" w:ascii="仿宋_GB2312" w:hAnsi="仿宋_GB2312" w:eastAsia="仿宋_GB2312" w:cs="仿宋_GB2312"/>
          <w:sz w:val="32"/>
          <w:szCs w:val="32"/>
        </w:rPr>
        <w:t>（或者××～××/</w:t>
      </w:r>
      <w:r>
        <w:rPr>
          <w:rFonts w:hint="default" w:ascii="Times New Roman" w:hAnsi="Times New Roman" w:eastAsia="仿宋_GB2312" w:cs="Times New Roman"/>
          <w:sz w:val="32"/>
          <w:szCs w:val="32"/>
        </w:rPr>
        <w:t>m2</w:t>
      </w:r>
      <w:r>
        <w:rPr>
          <w:rFonts w:hint="eastAsia" w:ascii="仿宋_GB2312" w:hAnsi="仿宋_GB2312" w:eastAsia="仿宋_GB2312" w:cs="仿宋_GB2312"/>
          <w:sz w:val="32"/>
          <w:szCs w:val="32"/>
        </w:rPr>
        <w:t>），一日×次（或者×～×次）”来表述。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凡是疗程用药或规定用药期限者，则必须注明疗程、期限和用法。</w:t>
      </w:r>
    </w:p>
    <w:p>
      <w:pPr>
        <w:numPr>
          <w:ilvl w:val="-1"/>
          <w:numId w:val="0"/>
        </w:numPr>
        <w:spacing w:line="560" w:lineRule="exact"/>
        <w:ind w:left="0" w:leftChars="0"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11.</w:t>
      </w:r>
      <w:r>
        <w:rPr>
          <w:rFonts w:hint="default" w:ascii="Times New Roman" w:hAnsi="Times New Roman" w:eastAsia="仿宋_GB2312" w:cs="Times New Roman"/>
          <w:b/>
          <w:bCs/>
          <w:sz w:val="32"/>
          <w:szCs w:val="32"/>
        </w:rPr>
        <w:t>不良反应</w:t>
      </w:r>
    </w:p>
    <w:p>
      <w:pPr>
        <w:numPr>
          <w:ilvl w:val="255"/>
          <w:numId w:val="0"/>
        </w:numPr>
        <w:spacing w:line="560" w:lineRule="exact"/>
        <w:ind w:left="17" w:leftChars="8" w:firstLine="620" w:firstLineChars="193"/>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11.1</w:t>
      </w:r>
      <w:r>
        <w:rPr>
          <w:rFonts w:hint="eastAsia" w:ascii="仿宋_GB2312" w:hAnsi="仿宋_GB2312" w:eastAsia="仿宋_GB2312" w:cs="仿宋_GB2312"/>
          <w:b/>
          <w:bCs/>
          <w:sz w:val="32"/>
          <w:szCs w:val="32"/>
        </w:rPr>
        <w:t>规范细则</w:t>
      </w:r>
    </w:p>
    <w:p>
      <w:pPr>
        <w:numPr>
          <w:ilvl w:val="255"/>
          <w:numId w:val="0"/>
        </w:numPr>
        <w:spacing w:line="560" w:lineRule="exact"/>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制剂的</w:t>
      </w:r>
      <w:r>
        <w:rPr>
          <w:rFonts w:hint="eastAsia" w:ascii="仿宋_GB2312" w:hAnsi="仿宋_GB2312" w:eastAsia="仿宋_GB2312" w:cs="仿宋_GB2312"/>
          <w:sz w:val="32"/>
          <w:szCs w:val="32"/>
        </w:rPr>
        <w:t>不良反应是指合格</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在正常用法用量下出现的与用药目的无关的或意外的有害反应。</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该项下应实事求是地详细列出已知或可能发生的不良反应。</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鼓励配制单位主动收集并积累本制剂的安全性信息。对于临床使用时间较长、已有一定使用基础的制剂，应避免简单使用“尚不明确”，需根据临床监测情况和文献资料，尽可能列出已知或疑似的不良反应。</w:t>
      </w:r>
    </w:p>
    <w:p>
      <w:pPr>
        <w:numPr>
          <w:ilvl w:val="255"/>
          <w:numId w:val="0"/>
        </w:numPr>
        <w:spacing w:line="560" w:lineRule="exact"/>
        <w:ind w:left="17" w:leftChars="8" w:firstLine="620" w:firstLineChars="193"/>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11.2书写要求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不良反应应根据器官系统、反应的严重程度、发生频率，或毒理机制，或综合上述情况来进行分类。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如已有来源于规范的临床试验的不良反应发生率结果，应按频率的高低顺序列出。在同类不良反应中，较严重的不良反应应列在前面。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如没有来源于严格临床试验的不良反应发生率资料，其分类和各类不良反应应按其严重程度从重到轻的顺序列出。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如“尚不清楚有无不良反应”，应明确表述为“尚不明确”，此项不得为空或省略。</w:t>
      </w:r>
    </w:p>
    <w:p>
      <w:pPr>
        <w:spacing w:line="560" w:lineRule="exact"/>
        <w:ind w:left="638" w:leftChars="304"/>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12.禁忌</w:t>
      </w:r>
      <w:r>
        <w:rPr>
          <w:rFonts w:hint="default" w:ascii="Times New Roman" w:hAnsi="Times New Roman" w:eastAsia="仿宋_GB2312" w:cs="Times New Roman"/>
          <w:b/>
          <w:bCs/>
          <w:sz w:val="32"/>
          <w:szCs w:val="32"/>
        </w:rPr>
        <w:br w:type="textWrapping"/>
      </w:r>
      <w:r>
        <w:rPr>
          <w:rFonts w:hint="default" w:ascii="Times New Roman" w:hAnsi="Times New Roman" w:eastAsia="仿宋_GB2312" w:cs="Times New Roman"/>
          <w:b/>
          <w:bCs/>
          <w:sz w:val="32"/>
          <w:szCs w:val="32"/>
        </w:rPr>
        <w:t>12.1规范细则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该项下必须列出禁止应用该制剂的各种情况，其用药的危险性明确地超出其可能的治疗价值。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该项内容包括但不限于：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使用该制剂可产生严重过敏反应者；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对于因年龄、性别、生理状态、疾病状况、伴随治疗、合并用药、中医证候或体质等因素，使用该</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可能带来明显危害的特定人群。</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出现不可接受的严重不良反应者。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鼓励根据临床使用数据和文献资料尽可能列出已知信息，避免一概使用“尚不明确”。</w:t>
      </w:r>
    </w:p>
    <w:p>
      <w:pPr>
        <w:numPr>
          <w:ilvl w:val="255"/>
          <w:numId w:val="0"/>
        </w:numPr>
        <w:spacing w:line="560" w:lineRule="exact"/>
        <w:ind w:left="17" w:leftChars="8" w:firstLine="620" w:firstLineChars="193"/>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12.2书写要求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应基于处方药味毒性、临床经验及文献报道明确列出。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如“尚不清楚有无禁忌”，应明确表述为“尚不明确”，此项不得为空或省略。</w:t>
      </w:r>
    </w:p>
    <w:p>
      <w:pPr>
        <w:spacing w:line="560" w:lineRule="exact"/>
        <w:ind w:left="638" w:leftChars="304"/>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13.注意事项</w:t>
      </w:r>
      <w:r>
        <w:rPr>
          <w:rFonts w:hint="default" w:ascii="Times New Roman" w:hAnsi="Times New Roman" w:eastAsia="仿宋_GB2312" w:cs="Times New Roman"/>
          <w:b/>
          <w:bCs/>
          <w:sz w:val="32"/>
          <w:szCs w:val="32"/>
        </w:rPr>
        <w:br w:type="textWrapping"/>
      </w:r>
      <w:r>
        <w:rPr>
          <w:rFonts w:hint="default" w:ascii="Times New Roman" w:hAnsi="Times New Roman" w:eastAsia="仿宋_GB2312" w:cs="Times New Roman"/>
          <w:b/>
          <w:bCs/>
          <w:sz w:val="32"/>
          <w:szCs w:val="32"/>
        </w:rPr>
        <w:t>13.1规范细则</w:t>
      </w:r>
    </w:p>
    <w:p>
      <w:pPr>
        <w:spacing w:line="560" w:lineRule="exact"/>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应列出使用时必须注意的问题，如涉及安全性问题，可参考国家处方药说明书规范注明相关提示。</w:t>
      </w:r>
    </w:p>
    <w:p>
      <w:p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应包括但不限于：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需要慎用的情况（如肝肾功能不全、特定中医证候或体质）。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影响药效的因素（如饮食禁忌，忌食生冷、油腻等）。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用药过程中需观察的情况（如过敏反应，建议定期检查等）。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处方中含有可能引起严重不良反应的成份或辅料。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有药物滥用或药物依赖性内容。</w:t>
      </w:r>
    </w:p>
    <w:p>
      <w:pPr>
        <w:spacing w:line="560" w:lineRule="exact"/>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中药和化学药品组成的复方制剂，必须列出成份中化学药品的相关内容及注意事项。</w:t>
      </w:r>
    </w:p>
    <w:p>
      <w:pPr>
        <w:numPr>
          <w:ilvl w:val="255"/>
          <w:numId w:val="0"/>
        </w:numPr>
        <w:spacing w:line="560" w:lineRule="exact"/>
        <w:ind w:left="17" w:leftChars="8" w:firstLine="620" w:firstLineChars="193"/>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13.2书写要求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一般注意事项：应包括使执业医师对</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安全性和有效性产生担忧的任何问题。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病人须知方面：需要提供给病人用药的安全性和有效性信息，如与驾驶有关的注意事项，以及合并用药可能使毒副作用和治疗作用改变的相关信息。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出现不良反应时需要处理的措施、方法以及应注意的情况，如用药期间如出现肝肾功能异常应立即停药并监测。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检查：明确哪些实验室检查项目有助于疗效随访，哪些实验室检查项目有助于发现可能的不良反应。尽量提供在某些特定状态下某些特殊实验室检查项目的正常值和异常值的范围，以及这些实验室检查项目推荐的检查频次（在治疗前、治疗期间或治疗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药物对实验室检查的干扰：如已知</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会对实验室检查结果产生干扰，应简要地说明该干扰作用。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可能产生</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滥用或</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依赖性的内容。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因为中医证候、病机或体质等因素需要慎用者以及饮食、妊娠、配伍等方面与药物有关的注意事项。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处方中含有可能引起严重不良反应的成份或辅料，应予以说明。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其他需要注意提醒的情况。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如未进行特殊人群用药研究，应注明“孕妇、哺乳期妇女、儿童、老年人等特殊人群应在医师指导下使用。如尚不清楚有无注意事项，可表述为“尚不明确”，此项不得为空或省略。</w:t>
      </w:r>
    </w:p>
    <w:p>
      <w:pPr>
        <w:spacing w:line="560" w:lineRule="exact"/>
        <w:ind w:firstLine="643" w:firstLineChars="200"/>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14.贮藏</w:t>
      </w:r>
      <w:r>
        <w:rPr>
          <w:rFonts w:hint="default" w:ascii="Times New Roman" w:hAnsi="Times New Roman" w:eastAsia="仿宋_GB2312" w:cs="Times New Roman"/>
          <w:b/>
          <w:bCs/>
          <w:sz w:val="32"/>
          <w:szCs w:val="32"/>
        </w:rPr>
        <w:br w:type="textWrapping"/>
      </w:r>
      <w:r>
        <w:rPr>
          <w:rFonts w:hint="eastAsia" w:ascii="仿宋_GB2312" w:hAnsi="仿宋_GB2312" w:eastAsia="仿宋_GB2312" w:cs="仿宋_GB2312"/>
          <w:b/>
          <w:bCs/>
          <w:sz w:val="32"/>
          <w:szCs w:val="32"/>
        </w:rPr>
        <w:t xml:space="preserve">    </w:t>
      </w:r>
      <w:r>
        <w:rPr>
          <w:rFonts w:hint="default" w:ascii="Times New Roman" w:hAnsi="Times New Roman" w:eastAsia="仿宋_GB2312" w:cs="Times New Roman"/>
          <w:b/>
          <w:bCs/>
          <w:sz w:val="32"/>
          <w:szCs w:val="32"/>
        </w:rPr>
        <w:t>14.1规范细则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应与制剂法定标准【贮藏】项下的内容一致。</w:t>
      </w:r>
    </w:p>
    <w:p>
      <w:pPr>
        <w:numPr>
          <w:ilvl w:val="255"/>
          <w:numId w:val="0"/>
        </w:numPr>
        <w:spacing w:line="560" w:lineRule="exact"/>
        <w:ind w:left="17" w:leftChars="8" w:firstLine="620" w:firstLineChars="193"/>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14.2书写要求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按《天津市医疗机构制剂规范》要求规范书写。有特殊要求的应注明具体条件，如“密封，置阴凉处（不超过</w:t>
      </w:r>
      <w:r>
        <w:rPr>
          <w:rFonts w:hint="default" w:ascii="Times New Roman" w:hAnsi="Times New Roman" w:eastAsia="仿宋_GB2312" w:cs="Times New Roman"/>
          <w:sz w:val="32"/>
          <w:szCs w:val="32"/>
        </w:rPr>
        <w:t>20℃</w:t>
      </w:r>
      <w:r>
        <w:rPr>
          <w:rFonts w:hint="eastAsia" w:ascii="仿宋_GB2312" w:hAnsi="仿宋_GB2312" w:eastAsia="仿宋_GB2312" w:cs="仿宋_GB2312"/>
          <w:sz w:val="32"/>
          <w:szCs w:val="32"/>
        </w:rPr>
        <w:t>）贮藏”。</w:t>
      </w:r>
    </w:p>
    <w:p>
      <w:pPr>
        <w:spacing w:line="560" w:lineRule="exact"/>
        <w:ind w:firstLine="643" w:firstLineChars="200"/>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15.包装</w:t>
      </w:r>
      <w:r>
        <w:rPr>
          <w:rFonts w:hint="default" w:ascii="Times New Roman" w:hAnsi="Times New Roman" w:eastAsia="仿宋_GB2312" w:cs="Times New Roman"/>
          <w:b/>
          <w:bCs/>
          <w:sz w:val="32"/>
          <w:szCs w:val="32"/>
        </w:rPr>
        <w:br w:type="textWrapping"/>
      </w:r>
      <w:r>
        <w:rPr>
          <w:rFonts w:hint="eastAsia" w:ascii="仿宋_GB2312" w:hAnsi="仿宋_GB2312" w:eastAsia="仿宋_GB2312" w:cs="仿宋_GB2312"/>
          <w:b/>
          <w:bCs/>
          <w:sz w:val="32"/>
          <w:szCs w:val="32"/>
        </w:rPr>
        <w:t xml:space="preserve">  </w:t>
      </w:r>
      <w:r>
        <w:rPr>
          <w:rFonts w:hint="default" w:ascii="Times New Roman" w:hAnsi="Times New Roman" w:eastAsia="仿宋_GB2312" w:cs="Times New Roman"/>
          <w:b/>
          <w:bCs/>
          <w:sz w:val="32"/>
          <w:szCs w:val="32"/>
        </w:rPr>
        <w:t xml:space="preserve">  15.1规范细则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包装规格一般是指销售的最小包装的规格，包括直接接触药品的包装材料和容器及包装规格。</w:t>
      </w:r>
    </w:p>
    <w:p>
      <w:pPr>
        <w:numPr>
          <w:ilvl w:val="255"/>
          <w:numId w:val="0"/>
        </w:numPr>
        <w:spacing w:line="560" w:lineRule="exact"/>
        <w:ind w:left="17" w:leftChars="8" w:firstLine="620" w:firstLineChars="193"/>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15.2书写要求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应先表述直接接触药品的包装材料和容器，再表述包装规格。例如：“药品包装用</w:t>
      </w:r>
      <w:r>
        <w:rPr>
          <w:rFonts w:hint="default" w:ascii="Times New Roman" w:hAnsi="Times New Roman" w:eastAsia="仿宋_GB2312" w:cs="Times New Roman"/>
          <w:sz w:val="32"/>
          <w:szCs w:val="32"/>
        </w:rPr>
        <w:t>PTP</w:t>
      </w:r>
      <w:r>
        <w:rPr>
          <w:rFonts w:hint="eastAsia" w:ascii="仿宋_GB2312" w:hAnsi="仿宋_GB2312" w:eastAsia="仿宋_GB2312" w:cs="仿宋_GB2312"/>
          <w:sz w:val="32"/>
          <w:szCs w:val="32"/>
        </w:rPr>
        <w:t>铝箔、</w:t>
      </w:r>
      <w:r>
        <w:rPr>
          <w:rFonts w:hint="default" w:ascii="Times New Roman" w:hAnsi="Times New Roman" w:eastAsia="仿宋_GB2312" w:cs="Times New Roman"/>
          <w:sz w:val="32"/>
          <w:szCs w:val="32"/>
        </w:rPr>
        <w:t>PVC</w:t>
      </w:r>
      <w:r>
        <w:rPr>
          <w:rFonts w:hint="eastAsia" w:ascii="仿宋_GB2312" w:hAnsi="仿宋_GB2312" w:eastAsia="仿宋_GB2312" w:cs="仿宋_GB2312"/>
          <w:sz w:val="32"/>
          <w:szCs w:val="32"/>
        </w:rPr>
        <w:t>硬片。每板</w:t>
      </w:r>
      <w:r>
        <w:rPr>
          <w:rFonts w:hint="default" w:ascii="Times New Roman" w:hAnsi="Times New Roman" w:eastAsia="仿宋_GB2312" w:cs="Times New Roman"/>
          <w:sz w:val="32"/>
          <w:szCs w:val="32"/>
        </w:rPr>
        <w:t>12</w:t>
      </w:r>
      <w:r>
        <w:rPr>
          <w:rFonts w:hint="eastAsia" w:ascii="仿宋_GB2312" w:hAnsi="仿宋_GB2312" w:eastAsia="仿宋_GB2312" w:cs="仿宋_GB2312"/>
          <w:sz w:val="32"/>
          <w:szCs w:val="32"/>
        </w:rPr>
        <w:t>片，每盒</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板。”</w:t>
      </w:r>
    </w:p>
    <w:p>
      <w:pPr>
        <w:numPr>
          <w:ilvl w:val="255"/>
          <w:numId w:val="0"/>
        </w:numPr>
        <w:spacing w:line="560" w:lineRule="exact"/>
        <w:ind w:left="17" w:leftChars="8" w:firstLine="620" w:firstLineChars="193"/>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16.有效期</w:t>
      </w:r>
    </w:p>
    <w:p>
      <w:pPr>
        <w:numPr>
          <w:ilvl w:val="255"/>
          <w:numId w:val="0"/>
        </w:numPr>
        <w:spacing w:line="560" w:lineRule="exact"/>
        <w:ind w:left="17" w:leftChars="8" w:firstLine="620" w:firstLineChars="193"/>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16.1规范细则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制剂</w:t>
      </w:r>
      <w:r>
        <w:rPr>
          <w:rFonts w:hint="eastAsia" w:ascii="仿宋_GB2312" w:hAnsi="仿宋_GB2312" w:eastAsia="仿宋_GB2312" w:cs="仿宋_GB2312"/>
          <w:sz w:val="32"/>
          <w:szCs w:val="32"/>
        </w:rPr>
        <w:t>在规定的贮藏条件下能够保持质量稳定的期限。</w:t>
      </w:r>
    </w:p>
    <w:p>
      <w:pPr>
        <w:spacing w:line="560" w:lineRule="exact"/>
        <w:ind w:firstLine="640" w:firstLineChars="200"/>
        <w:rPr>
          <w:rFonts w:hint="default" w:ascii="Times New Roman" w:hAnsi="Times New Roman" w:eastAsia="仿宋_GB2312" w:cs="Times New Roman"/>
          <w:b/>
          <w:bCs/>
          <w:sz w:val="32"/>
          <w:szCs w:val="32"/>
        </w:rPr>
      </w:pPr>
      <w:r>
        <w:rPr>
          <w:rFonts w:hint="eastAsia" w:ascii="仿宋_GB2312" w:hAnsi="仿宋_GB2312" w:eastAsia="仿宋_GB2312" w:cs="仿宋_GB2312"/>
          <w:sz w:val="32"/>
          <w:szCs w:val="32"/>
        </w:rPr>
        <w:t>有效期的表述方式应与稳定性研究结论及制剂质量标准中的规定一致。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b/>
          <w:bCs/>
          <w:sz w:val="32"/>
          <w:szCs w:val="32"/>
        </w:rPr>
        <w:t>16.2书写要求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以月为单位表述。例如：</w:t>
      </w:r>
      <w:r>
        <w:rPr>
          <w:rFonts w:hint="default" w:ascii="Times New Roman" w:hAnsi="Times New Roman" w:eastAsia="仿宋_GB2312" w:cs="Times New Roman"/>
          <w:sz w:val="32"/>
          <w:szCs w:val="32"/>
        </w:rPr>
        <w:t>XX</w:t>
      </w:r>
      <w:r>
        <w:rPr>
          <w:rFonts w:hint="eastAsia" w:ascii="仿宋_GB2312" w:hAnsi="仿宋_GB2312" w:eastAsia="仿宋_GB2312" w:cs="仿宋_GB2312"/>
          <w:sz w:val="32"/>
          <w:szCs w:val="32"/>
        </w:rPr>
        <w:t>个月（</w:t>
      </w:r>
      <w:r>
        <w:rPr>
          <w:rFonts w:hint="default" w:ascii="Times New Roman" w:hAnsi="Times New Roman" w:eastAsia="仿宋_GB2312" w:cs="Times New Roman"/>
          <w:sz w:val="32"/>
          <w:szCs w:val="32"/>
        </w:rPr>
        <w:t>X</w:t>
      </w:r>
      <w:r>
        <w:rPr>
          <w:rFonts w:hint="eastAsia" w:ascii="仿宋_GB2312" w:hAnsi="仿宋_GB2312" w:eastAsia="仿宋_GB2312" w:cs="仿宋_GB2312"/>
          <w:sz w:val="32"/>
          <w:szCs w:val="32"/>
        </w:rPr>
        <w:t xml:space="preserve">用阿拉伯数字表示）。 </w:t>
      </w:r>
    </w:p>
    <w:p>
      <w:pPr>
        <w:spacing w:line="560" w:lineRule="exact"/>
        <w:ind w:firstLine="643" w:firstLineChars="200"/>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rPr>
        <w:t>17.执行标准</w:t>
      </w:r>
      <w:r>
        <w:rPr>
          <w:rFonts w:hint="default" w:ascii="Times New Roman" w:hAnsi="Times New Roman" w:eastAsia="仿宋_GB2312" w:cs="Times New Roman"/>
          <w:b/>
          <w:bCs/>
          <w:sz w:val="32"/>
          <w:szCs w:val="32"/>
        </w:rPr>
        <w:br w:type="textWrapping"/>
      </w:r>
      <w:r>
        <w:rPr>
          <w:rFonts w:hint="default" w:ascii="Times New Roman" w:hAnsi="Times New Roman" w:eastAsia="仿宋_GB2312" w:cs="Times New Roman"/>
          <w:b/>
          <w:bCs/>
          <w:sz w:val="32"/>
          <w:szCs w:val="32"/>
        </w:rPr>
        <w:t xml:space="preserve">    17.1规范细则</w:t>
      </w:r>
    </w:p>
    <w:p>
      <w:pPr>
        <w:spacing w:line="560" w:lineRule="exact"/>
        <w:ind w:left="0" w:leftChars="0" w:firstLine="640" w:firstLineChars="200"/>
        <w:rPr>
          <w:rFonts w:hint="default" w:ascii="Times New Roman" w:hAnsi="Times New Roman" w:eastAsia="仿宋_GB2312" w:cs="Times New Roman"/>
          <w:b/>
          <w:bCs/>
          <w:sz w:val="32"/>
          <w:szCs w:val="32"/>
        </w:rPr>
      </w:pPr>
      <w:r>
        <w:rPr>
          <w:rFonts w:hint="eastAsia" w:ascii="仿宋_GB2312" w:hAnsi="仿宋_GB2312" w:eastAsia="仿宋_GB2312" w:cs="仿宋_GB2312"/>
          <w:sz w:val="32"/>
          <w:szCs w:val="32"/>
        </w:rPr>
        <w:t>应列出制剂所执行的质量标准的名称、版本或标准编号。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b/>
          <w:bCs/>
          <w:sz w:val="32"/>
          <w:szCs w:val="32"/>
        </w:rPr>
        <w:t>17.2书写要求</w:t>
      </w:r>
    </w:p>
    <w:p>
      <w:pPr>
        <w:spacing w:line="560" w:lineRule="exact"/>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例如：“《天津市医疗机构制剂规范》</w:t>
      </w:r>
      <w:r>
        <w:rPr>
          <w:rFonts w:hint="default" w:ascii="Times New Roman" w:hAnsi="Times New Roman" w:eastAsia="仿宋_GB2312" w:cs="Times New Roman"/>
          <w:sz w:val="32"/>
          <w:szCs w:val="32"/>
        </w:rPr>
        <w:t>2021</w:t>
      </w:r>
      <w:r>
        <w:rPr>
          <w:rFonts w:hint="eastAsia" w:ascii="仿宋_GB2312" w:hAnsi="仿宋_GB2312" w:eastAsia="仿宋_GB2312" w:cs="仿宋_GB2312"/>
          <w:sz w:val="32"/>
          <w:szCs w:val="32"/>
        </w:rPr>
        <w:t>年版</w:t>
      </w:r>
      <w:bookmarkStart w:id="0" w:name="_Hlk213359439"/>
      <w:r>
        <w:rPr>
          <w:rFonts w:hint="eastAsia" w:ascii="仿宋_GB2312" w:hAnsi="仿宋_GB2312" w:eastAsia="仿宋_GB2312" w:cs="仿宋_GB2312"/>
          <w:sz w:val="32"/>
          <w:szCs w:val="32"/>
        </w:rPr>
        <w:t>或标准编号</w:t>
      </w:r>
      <w:bookmarkEnd w:id="0"/>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JZ2020XXXX</w:t>
      </w:r>
      <w:r>
        <w:rPr>
          <w:rFonts w:hint="eastAsia" w:ascii="仿宋_GB2312" w:hAnsi="仿宋_GB2312" w:eastAsia="仿宋_GB2312" w:cs="仿宋_GB2312"/>
          <w:sz w:val="32"/>
          <w:szCs w:val="32"/>
        </w:rPr>
        <w:t>。”</w:t>
      </w:r>
    </w:p>
    <w:p>
      <w:pPr>
        <w:numPr>
          <w:ilvl w:val="255"/>
          <w:numId w:val="0"/>
        </w:numPr>
        <w:spacing w:line="560" w:lineRule="exact"/>
        <w:ind w:left="17" w:leftChars="8" w:firstLine="620" w:firstLineChars="193"/>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18.批准文号/</w:t>
      </w:r>
      <w:r>
        <w:rPr>
          <w:rFonts w:hint="default" w:ascii="Times New Roman" w:hAnsi="Times New Roman" w:eastAsia="仿宋_GB2312" w:cs="Times New Roman"/>
          <w:b/>
          <w:bCs/>
          <w:sz w:val="32"/>
          <w:szCs w:val="32"/>
          <w:highlight w:val="none"/>
        </w:rPr>
        <w:t>制剂备案号</w:t>
      </w:r>
      <w:r>
        <w:rPr>
          <w:rFonts w:hint="default" w:ascii="Times New Roman" w:hAnsi="Times New Roman" w:eastAsia="仿宋_GB2312" w:cs="Times New Roman"/>
          <w:b/>
          <w:bCs/>
          <w:sz w:val="32"/>
          <w:szCs w:val="32"/>
          <w:highlight w:val="none"/>
        </w:rPr>
        <w:br w:type="textWrapping"/>
      </w:r>
      <w:r>
        <w:rPr>
          <w:rFonts w:hint="default" w:ascii="Times New Roman" w:hAnsi="Times New Roman" w:eastAsia="仿宋_GB2312" w:cs="Times New Roman"/>
          <w:b/>
          <w:bCs/>
          <w:sz w:val="32"/>
          <w:szCs w:val="32"/>
        </w:rPr>
        <w:t xml:space="preserve">    18.1规范细则</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指该制剂经药品监督管理部门</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或备案的文号。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bCs/>
          <w:sz w:val="32"/>
          <w:szCs w:val="32"/>
        </w:rPr>
        <w:t xml:space="preserve">    </w:t>
      </w:r>
      <w:r>
        <w:rPr>
          <w:rFonts w:hint="default" w:ascii="Times New Roman" w:hAnsi="Times New Roman" w:eastAsia="仿宋_GB2312" w:cs="Times New Roman"/>
          <w:b/>
          <w:bCs/>
          <w:sz w:val="32"/>
          <w:szCs w:val="32"/>
        </w:rPr>
        <w:t>18.2</w:t>
      </w:r>
      <w:r>
        <w:rPr>
          <w:rFonts w:hint="eastAsia" w:ascii="仿宋_GB2312" w:hAnsi="仿宋_GB2312" w:eastAsia="仿宋_GB2312" w:cs="仿宋_GB2312"/>
          <w:b/>
          <w:bCs/>
          <w:sz w:val="32"/>
          <w:szCs w:val="32"/>
        </w:rPr>
        <w:t>书写要求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应准确填写，如“津药制字</w:t>
      </w:r>
      <w:r>
        <w:rPr>
          <w:rFonts w:hint="default" w:ascii="Times New Roman" w:hAnsi="Times New Roman" w:eastAsia="仿宋_GB2312" w:cs="Times New Roman"/>
          <w:sz w:val="32"/>
          <w:szCs w:val="32"/>
        </w:rPr>
        <w:t>Z20XXXXXX</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“津药制备字</w:t>
      </w:r>
      <w:r>
        <w:rPr>
          <w:rFonts w:hint="default" w:ascii="Times New Roman" w:hAnsi="Times New Roman" w:eastAsia="仿宋_GB2312" w:cs="Times New Roman"/>
          <w:sz w:val="32"/>
          <w:szCs w:val="32"/>
          <w:lang w:val="en-US" w:eastAsia="zh-CN"/>
        </w:rPr>
        <w:t>Z20</w:t>
      </w:r>
      <w:r>
        <w:rPr>
          <w:rFonts w:hint="default" w:ascii="Times New Roman" w:hAnsi="Times New Roman" w:eastAsia="仿宋_GB2312" w:cs="Times New Roman"/>
          <w:sz w:val="32"/>
          <w:szCs w:val="32"/>
        </w:rPr>
        <w:t>XXXXXXXXX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numPr>
          <w:ilvl w:val="255"/>
          <w:numId w:val="0"/>
        </w:numPr>
        <w:spacing w:line="560" w:lineRule="exact"/>
        <w:ind w:left="17" w:leftChars="8" w:firstLine="620" w:firstLineChars="193"/>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19.配制单位（注册/备案单位）</w:t>
      </w:r>
      <w:r>
        <w:rPr>
          <w:rFonts w:hint="default" w:ascii="Times New Roman" w:hAnsi="Times New Roman" w:eastAsia="仿宋_GB2312" w:cs="Times New Roman"/>
          <w:b/>
          <w:bCs/>
          <w:sz w:val="32"/>
          <w:szCs w:val="32"/>
        </w:rPr>
        <w:br w:type="textWrapping"/>
      </w:r>
      <w:r>
        <w:rPr>
          <w:rFonts w:hint="default" w:ascii="Times New Roman" w:hAnsi="Times New Roman" w:eastAsia="仿宋_GB2312" w:cs="Times New Roman"/>
          <w:b/>
          <w:bCs/>
          <w:sz w:val="32"/>
          <w:szCs w:val="32"/>
        </w:rPr>
        <w:t xml:space="preserve">    19.1规范细则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该项内容必须与制剂批准证明文件或备案凭证中的内容一致。</w:t>
      </w:r>
    </w:p>
    <w:p>
      <w:pPr>
        <w:spacing w:line="560" w:lineRule="exact"/>
        <w:ind w:firstLine="640" w:firstLineChars="200"/>
        <w:rPr>
          <w:rFonts w:hint="default" w:ascii="Times New Roman" w:hAnsi="Times New Roman" w:eastAsia="仿宋_GB2312" w:cs="Times New Roman"/>
          <w:b/>
          <w:bCs/>
          <w:sz w:val="32"/>
          <w:szCs w:val="32"/>
        </w:rPr>
      </w:pPr>
      <w:r>
        <w:rPr>
          <w:rFonts w:hint="eastAsia" w:ascii="仿宋_GB2312" w:hAnsi="仿宋_GB2312" w:eastAsia="仿宋_GB2312" w:cs="仿宋_GB2312"/>
          <w:sz w:val="32"/>
          <w:szCs w:val="32"/>
        </w:rPr>
        <w:t>医疗机构制剂应该注明“医疗机构制剂仅在本医院使用”，该内容必须标注，并印制在说明书下方。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b/>
          <w:bCs/>
          <w:sz w:val="32"/>
          <w:szCs w:val="32"/>
        </w:rPr>
        <w:t xml:space="preserve">  19.2书写要求</w:t>
      </w:r>
    </w:p>
    <w:p>
      <w:p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自行配制按下列方式列出：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【注册/备案单位】</w:t>
      </w:r>
    </w:p>
    <w:p>
      <w:p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    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配制地址：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电话电话：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传真号码：</w:t>
      </w:r>
    </w:p>
    <w:p>
      <w:p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委托配制按下列方式列出：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【注册/备案单位】</w:t>
      </w:r>
    </w:p>
    <w:p>
      <w:p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    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电话电话：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传真号码：</w:t>
      </w:r>
    </w:p>
    <w:p>
      <w:p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【配制单位】</w:t>
      </w:r>
    </w:p>
    <w:p>
      <w:pPr>
        <w:spacing w:line="56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    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配制地址：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电话电话：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传真号码：</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9FD"/>
    <w:rsid w:val="000E67CE"/>
    <w:rsid w:val="001759B3"/>
    <w:rsid w:val="001900FB"/>
    <w:rsid w:val="001D2B51"/>
    <w:rsid w:val="00211950"/>
    <w:rsid w:val="0023441C"/>
    <w:rsid w:val="00242519"/>
    <w:rsid w:val="0027482C"/>
    <w:rsid w:val="002B35BD"/>
    <w:rsid w:val="002C2D47"/>
    <w:rsid w:val="002C696E"/>
    <w:rsid w:val="002D1739"/>
    <w:rsid w:val="002D1979"/>
    <w:rsid w:val="002D7021"/>
    <w:rsid w:val="00313885"/>
    <w:rsid w:val="00313F4E"/>
    <w:rsid w:val="00330F47"/>
    <w:rsid w:val="0036147E"/>
    <w:rsid w:val="003760CB"/>
    <w:rsid w:val="00395944"/>
    <w:rsid w:val="003A3CCC"/>
    <w:rsid w:val="003B2D63"/>
    <w:rsid w:val="003D56FB"/>
    <w:rsid w:val="003E694B"/>
    <w:rsid w:val="003F0EE4"/>
    <w:rsid w:val="004119FD"/>
    <w:rsid w:val="004357D7"/>
    <w:rsid w:val="004456E7"/>
    <w:rsid w:val="004F0750"/>
    <w:rsid w:val="004F4D72"/>
    <w:rsid w:val="004F7D18"/>
    <w:rsid w:val="00533A35"/>
    <w:rsid w:val="005B2B25"/>
    <w:rsid w:val="006404F8"/>
    <w:rsid w:val="00647C7C"/>
    <w:rsid w:val="006E7E57"/>
    <w:rsid w:val="006F000A"/>
    <w:rsid w:val="006F1E1D"/>
    <w:rsid w:val="006F45CF"/>
    <w:rsid w:val="00752438"/>
    <w:rsid w:val="0076408A"/>
    <w:rsid w:val="007A2D88"/>
    <w:rsid w:val="007C4B71"/>
    <w:rsid w:val="007C6DCD"/>
    <w:rsid w:val="007F05B6"/>
    <w:rsid w:val="008014E2"/>
    <w:rsid w:val="00820ECE"/>
    <w:rsid w:val="008430D7"/>
    <w:rsid w:val="008633DC"/>
    <w:rsid w:val="008738FE"/>
    <w:rsid w:val="00876797"/>
    <w:rsid w:val="0089161D"/>
    <w:rsid w:val="00903DD8"/>
    <w:rsid w:val="0092503E"/>
    <w:rsid w:val="0093181C"/>
    <w:rsid w:val="009414A3"/>
    <w:rsid w:val="009450E9"/>
    <w:rsid w:val="00975691"/>
    <w:rsid w:val="009C3364"/>
    <w:rsid w:val="00A10C63"/>
    <w:rsid w:val="00A21667"/>
    <w:rsid w:val="00A3191F"/>
    <w:rsid w:val="00A331B5"/>
    <w:rsid w:val="00A42B90"/>
    <w:rsid w:val="00A45F91"/>
    <w:rsid w:val="00A60DFA"/>
    <w:rsid w:val="00A60E4C"/>
    <w:rsid w:val="00A6512F"/>
    <w:rsid w:val="00AD5968"/>
    <w:rsid w:val="00AE37AC"/>
    <w:rsid w:val="00BA0C08"/>
    <w:rsid w:val="00BF2E05"/>
    <w:rsid w:val="00BF7CAC"/>
    <w:rsid w:val="00C10C2F"/>
    <w:rsid w:val="00C47E95"/>
    <w:rsid w:val="00C504D0"/>
    <w:rsid w:val="00C73E8C"/>
    <w:rsid w:val="00D34E01"/>
    <w:rsid w:val="00D41B12"/>
    <w:rsid w:val="00D5799B"/>
    <w:rsid w:val="00D830F0"/>
    <w:rsid w:val="00D92BDD"/>
    <w:rsid w:val="00DA6979"/>
    <w:rsid w:val="00DC3075"/>
    <w:rsid w:val="00DC4858"/>
    <w:rsid w:val="00DC73CF"/>
    <w:rsid w:val="00DD0235"/>
    <w:rsid w:val="00E21AEC"/>
    <w:rsid w:val="00E274E6"/>
    <w:rsid w:val="00E42939"/>
    <w:rsid w:val="00E70494"/>
    <w:rsid w:val="00EA6E5C"/>
    <w:rsid w:val="00EE3EE6"/>
    <w:rsid w:val="00EF272A"/>
    <w:rsid w:val="00F16A31"/>
    <w:rsid w:val="00F32525"/>
    <w:rsid w:val="00F32926"/>
    <w:rsid w:val="00F624C3"/>
    <w:rsid w:val="00F949EC"/>
    <w:rsid w:val="00FB03FB"/>
    <w:rsid w:val="00FD5FA1"/>
    <w:rsid w:val="03827AE7"/>
    <w:rsid w:val="06E26E00"/>
    <w:rsid w:val="07E74A9B"/>
    <w:rsid w:val="090D24FC"/>
    <w:rsid w:val="09934CE1"/>
    <w:rsid w:val="0AF3628F"/>
    <w:rsid w:val="0BC35C62"/>
    <w:rsid w:val="0C985934"/>
    <w:rsid w:val="0D45193C"/>
    <w:rsid w:val="0DE66708"/>
    <w:rsid w:val="0EB86839"/>
    <w:rsid w:val="13EF6470"/>
    <w:rsid w:val="16CF2A47"/>
    <w:rsid w:val="18B736A0"/>
    <w:rsid w:val="1DB64DB5"/>
    <w:rsid w:val="1EDB183D"/>
    <w:rsid w:val="206C0D72"/>
    <w:rsid w:val="207672EF"/>
    <w:rsid w:val="22BD715B"/>
    <w:rsid w:val="244B0862"/>
    <w:rsid w:val="247D490A"/>
    <w:rsid w:val="249D7524"/>
    <w:rsid w:val="2841732B"/>
    <w:rsid w:val="30F70127"/>
    <w:rsid w:val="315D2DF7"/>
    <w:rsid w:val="324A0B2F"/>
    <w:rsid w:val="373E48F3"/>
    <w:rsid w:val="376B2AF1"/>
    <w:rsid w:val="39B069D5"/>
    <w:rsid w:val="3A5E58F1"/>
    <w:rsid w:val="3A854F44"/>
    <w:rsid w:val="3BD30455"/>
    <w:rsid w:val="3C41161A"/>
    <w:rsid w:val="3C8FE48D"/>
    <w:rsid w:val="3C941FF2"/>
    <w:rsid w:val="3CA70CFF"/>
    <w:rsid w:val="3F275F2C"/>
    <w:rsid w:val="3F541CFE"/>
    <w:rsid w:val="40890D5C"/>
    <w:rsid w:val="43406E61"/>
    <w:rsid w:val="439C4C7A"/>
    <w:rsid w:val="44345D50"/>
    <w:rsid w:val="464E0242"/>
    <w:rsid w:val="49117305"/>
    <w:rsid w:val="4BB76B56"/>
    <w:rsid w:val="4BB86F47"/>
    <w:rsid w:val="50D6FE4C"/>
    <w:rsid w:val="51393D98"/>
    <w:rsid w:val="516B3C43"/>
    <w:rsid w:val="51E47CAD"/>
    <w:rsid w:val="522C5AFA"/>
    <w:rsid w:val="538924CC"/>
    <w:rsid w:val="54CC03A0"/>
    <w:rsid w:val="58B6147A"/>
    <w:rsid w:val="5C0B64F7"/>
    <w:rsid w:val="5EE30267"/>
    <w:rsid w:val="620D7FC9"/>
    <w:rsid w:val="62DE60E5"/>
    <w:rsid w:val="639B3D7F"/>
    <w:rsid w:val="63E938C4"/>
    <w:rsid w:val="64DD528F"/>
    <w:rsid w:val="688411C6"/>
    <w:rsid w:val="68C1561C"/>
    <w:rsid w:val="696441D1"/>
    <w:rsid w:val="6BEF1470"/>
    <w:rsid w:val="6C5A46C2"/>
    <w:rsid w:val="6F3FE8E9"/>
    <w:rsid w:val="6FF346D1"/>
    <w:rsid w:val="7167023C"/>
    <w:rsid w:val="72072CDA"/>
    <w:rsid w:val="7294412D"/>
    <w:rsid w:val="748C0DB0"/>
    <w:rsid w:val="757C2D80"/>
    <w:rsid w:val="75AE09F6"/>
    <w:rsid w:val="76A61C88"/>
    <w:rsid w:val="77B36E55"/>
    <w:rsid w:val="77DECCF3"/>
    <w:rsid w:val="78986F77"/>
    <w:rsid w:val="79EE3671"/>
    <w:rsid w:val="7A7553B0"/>
    <w:rsid w:val="7C4C49DC"/>
    <w:rsid w:val="7D7EBEEA"/>
    <w:rsid w:val="7E2748F9"/>
    <w:rsid w:val="7FD03A4F"/>
    <w:rsid w:val="7FEE5F21"/>
    <w:rsid w:val="D5FCC235"/>
    <w:rsid w:val="E8BE36F1"/>
    <w:rsid w:val="EF52E5C1"/>
    <w:rsid w:val="EFF372BB"/>
    <w:rsid w:val="F3ED4AD4"/>
    <w:rsid w:val="FCF3EB2D"/>
    <w:rsid w:val="FF9FA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8"/>
    <w:unhideWhenUsed/>
    <w:qFormat/>
    <w:uiPriority w:val="99"/>
    <w:pPr>
      <w:jc w:val="left"/>
    </w:pPr>
  </w:style>
  <w:style w:type="paragraph" w:styleId="12">
    <w:name w:val="footer"/>
    <w:basedOn w:val="1"/>
    <w:link w:val="47"/>
    <w:unhideWhenUsed/>
    <w:qFormat/>
    <w:uiPriority w:val="99"/>
    <w:pPr>
      <w:tabs>
        <w:tab w:val="center" w:pos="4153"/>
        <w:tab w:val="right" w:pos="8306"/>
      </w:tabs>
      <w:snapToGrid w:val="0"/>
      <w:jc w:val="left"/>
    </w:pPr>
    <w:rPr>
      <w:sz w:val="18"/>
      <w:szCs w:val="18"/>
    </w:rPr>
  </w:style>
  <w:style w:type="paragraph" w:styleId="13">
    <w:name w:val="header"/>
    <w:basedOn w:val="1"/>
    <w:link w:val="4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9"/>
    <w:semiHidden/>
    <w:unhideWhenUsed/>
    <w:qFormat/>
    <w:uiPriority w:val="99"/>
    <w:rPr>
      <w:b/>
      <w:bCs/>
    </w:rPr>
  </w:style>
  <w:style w:type="character" w:styleId="20">
    <w:name w:val="Strong"/>
    <w:basedOn w:val="19"/>
    <w:qFormat/>
    <w:uiPriority w:val="22"/>
    <w:rPr>
      <w:b/>
    </w:rPr>
  </w:style>
  <w:style w:type="character" w:styleId="21">
    <w:name w:val="FollowedHyperlink"/>
    <w:basedOn w:val="19"/>
    <w:semiHidden/>
    <w:unhideWhenUsed/>
    <w:qFormat/>
    <w:uiPriority w:val="99"/>
    <w:rPr>
      <w:color w:val="4D7AD8"/>
      <w:u w:val="none"/>
    </w:rPr>
  </w:style>
  <w:style w:type="character" w:styleId="22">
    <w:name w:val="HTML Definition"/>
    <w:basedOn w:val="19"/>
    <w:semiHidden/>
    <w:unhideWhenUsed/>
    <w:qFormat/>
    <w:uiPriority w:val="99"/>
    <w:rPr>
      <w:i/>
    </w:rPr>
  </w:style>
  <w:style w:type="character" w:styleId="23">
    <w:name w:val="Hyperlink"/>
    <w:basedOn w:val="19"/>
    <w:semiHidden/>
    <w:unhideWhenUsed/>
    <w:qFormat/>
    <w:uiPriority w:val="99"/>
    <w:rPr>
      <w:color w:val="4D7AD8"/>
      <w:u w:val="none"/>
    </w:rPr>
  </w:style>
  <w:style w:type="character" w:styleId="24">
    <w:name w:val="HTML Code"/>
    <w:basedOn w:val="19"/>
    <w:semiHidden/>
    <w:unhideWhenUsed/>
    <w:qFormat/>
    <w:uiPriority w:val="99"/>
    <w:rPr>
      <w:rFonts w:ascii="Consolas" w:hAnsi="Consolas" w:eastAsia="Consolas" w:cs="Consolas"/>
      <w:sz w:val="21"/>
      <w:szCs w:val="21"/>
    </w:rPr>
  </w:style>
  <w:style w:type="character" w:styleId="25">
    <w:name w:val="annotation reference"/>
    <w:basedOn w:val="19"/>
    <w:semiHidden/>
    <w:unhideWhenUsed/>
    <w:qFormat/>
    <w:uiPriority w:val="99"/>
    <w:rPr>
      <w:sz w:val="21"/>
      <w:szCs w:val="21"/>
    </w:rPr>
  </w:style>
  <w:style w:type="character" w:styleId="26">
    <w:name w:val="HTML Keyboard"/>
    <w:basedOn w:val="19"/>
    <w:semiHidden/>
    <w:unhideWhenUsed/>
    <w:qFormat/>
    <w:uiPriority w:val="99"/>
    <w:rPr>
      <w:rFonts w:hint="default" w:ascii="Consolas" w:hAnsi="Consolas" w:eastAsia="Consolas" w:cs="Consolas"/>
      <w:sz w:val="21"/>
      <w:szCs w:val="21"/>
    </w:rPr>
  </w:style>
  <w:style w:type="character" w:styleId="27">
    <w:name w:val="HTML Sample"/>
    <w:basedOn w:val="19"/>
    <w:semiHidden/>
    <w:unhideWhenUsed/>
    <w:qFormat/>
    <w:uiPriority w:val="99"/>
    <w:rPr>
      <w:rFonts w:hint="default" w:ascii="Consolas" w:hAnsi="Consolas" w:eastAsia="Consolas" w:cs="Consolas"/>
      <w:sz w:val="21"/>
      <w:szCs w:val="21"/>
      <w:shd w:val="clear" w:fill="FFFFFF"/>
    </w:rPr>
  </w:style>
  <w:style w:type="character" w:customStyle="1" w:styleId="28">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9">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0">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1">
    <w:name w:val="标题 4 字符"/>
    <w:basedOn w:val="19"/>
    <w:link w:val="5"/>
    <w:semiHidden/>
    <w:qFormat/>
    <w:uiPriority w:val="9"/>
    <w:rPr>
      <w:rFonts w:cstheme="majorBidi"/>
      <w:color w:val="104862" w:themeColor="accent1" w:themeShade="BF"/>
      <w:sz w:val="28"/>
      <w:szCs w:val="28"/>
    </w:rPr>
  </w:style>
  <w:style w:type="character" w:customStyle="1" w:styleId="32">
    <w:name w:val="标题 5 字符"/>
    <w:basedOn w:val="19"/>
    <w:link w:val="6"/>
    <w:semiHidden/>
    <w:qFormat/>
    <w:uiPriority w:val="9"/>
    <w:rPr>
      <w:rFonts w:cstheme="majorBidi"/>
      <w:color w:val="104862" w:themeColor="accent1" w:themeShade="BF"/>
      <w:sz w:val="24"/>
      <w:szCs w:val="24"/>
    </w:rPr>
  </w:style>
  <w:style w:type="character" w:customStyle="1" w:styleId="33">
    <w:name w:val="标题 6 字符"/>
    <w:basedOn w:val="19"/>
    <w:link w:val="7"/>
    <w:semiHidden/>
    <w:qFormat/>
    <w:uiPriority w:val="9"/>
    <w:rPr>
      <w:rFonts w:cstheme="majorBidi"/>
      <w:b/>
      <w:bCs/>
      <w:color w:val="104862" w:themeColor="accent1" w:themeShade="BF"/>
    </w:rPr>
  </w:style>
  <w:style w:type="character" w:customStyle="1" w:styleId="34">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19"/>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34"/>
    <w:pPr>
      <w:ind w:left="720"/>
      <w:contextualSpacing/>
    </w:pPr>
  </w:style>
  <w:style w:type="character" w:customStyle="1" w:styleId="42">
    <w:name w:val="明显强调1"/>
    <w:basedOn w:val="19"/>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19"/>
    <w:link w:val="43"/>
    <w:qFormat/>
    <w:uiPriority w:val="30"/>
    <w:rPr>
      <w:i/>
      <w:iCs/>
      <w:color w:val="104862" w:themeColor="accent1" w:themeShade="BF"/>
    </w:rPr>
  </w:style>
  <w:style w:type="character" w:customStyle="1" w:styleId="45">
    <w:name w:val="明显参考1"/>
    <w:basedOn w:val="19"/>
    <w:qFormat/>
    <w:uiPriority w:val="32"/>
    <w:rPr>
      <w:b/>
      <w:bCs/>
      <w:smallCaps/>
      <w:color w:val="104862" w:themeColor="accent1" w:themeShade="BF"/>
      <w:spacing w:val="5"/>
    </w:rPr>
  </w:style>
  <w:style w:type="character" w:customStyle="1" w:styleId="46">
    <w:name w:val="页眉 字符"/>
    <w:basedOn w:val="19"/>
    <w:link w:val="13"/>
    <w:qFormat/>
    <w:uiPriority w:val="99"/>
    <w:rPr>
      <w:sz w:val="18"/>
      <w:szCs w:val="18"/>
    </w:rPr>
  </w:style>
  <w:style w:type="character" w:customStyle="1" w:styleId="47">
    <w:name w:val="页脚 字符"/>
    <w:basedOn w:val="19"/>
    <w:link w:val="12"/>
    <w:qFormat/>
    <w:uiPriority w:val="99"/>
    <w:rPr>
      <w:sz w:val="18"/>
      <w:szCs w:val="18"/>
    </w:rPr>
  </w:style>
  <w:style w:type="character" w:customStyle="1" w:styleId="48">
    <w:name w:val="批注文字 字符"/>
    <w:basedOn w:val="19"/>
    <w:link w:val="11"/>
    <w:qFormat/>
    <w:uiPriority w:val="99"/>
  </w:style>
  <w:style w:type="character" w:customStyle="1" w:styleId="49">
    <w:name w:val="批注主题 字符"/>
    <w:basedOn w:val="48"/>
    <w:link w:val="17"/>
    <w:semiHidden/>
    <w:qFormat/>
    <w:uiPriority w:val="99"/>
    <w:rPr>
      <w:b/>
      <w:bCs/>
    </w:rPr>
  </w:style>
  <w:style w:type="paragraph" w:customStyle="1" w:styleId="5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1">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2">
    <w:name w:val="auto-pass-node"/>
    <w:basedOn w:val="19"/>
    <w:qFormat/>
    <w:uiPriority w:val="0"/>
    <w:rPr>
      <w:bdr w:val="single" w:color="DC4446" w:sz="4" w:space="0"/>
      <w:shd w:val="clear" w:fill="A9E2FF"/>
    </w:rPr>
  </w:style>
  <w:style w:type="character" w:customStyle="1" w:styleId="53">
    <w:name w:val="tmpztreemove_arrow"/>
    <w:basedOn w:val="19"/>
    <w:qFormat/>
    <w:uiPriority w:val="0"/>
  </w:style>
  <w:style w:type="character" w:customStyle="1" w:styleId="54">
    <w:name w:val="ant-tree-checkbox5"/>
    <w:basedOn w:val="19"/>
    <w:qFormat/>
    <w:uiPriority w:val="0"/>
  </w:style>
  <w:style w:type="character" w:customStyle="1" w:styleId="55">
    <w:name w:val="wea-thumbnails-doc-content-subtitle"/>
    <w:basedOn w:val="19"/>
    <w:qFormat/>
    <w:uiPriority w:val="0"/>
    <w:rPr>
      <w:color w:val="9A9A9A"/>
    </w:rPr>
  </w:style>
  <w:style w:type="character" w:customStyle="1" w:styleId="56">
    <w:name w:val="ant-radio+*"/>
    <w:basedOn w:val="19"/>
    <w:qFormat/>
    <w:uiPriority w:val="0"/>
  </w:style>
  <w:style w:type="character" w:customStyle="1" w:styleId="57">
    <w:name w:val="not-pass-node"/>
    <w:basedOn w:val="19"/>
    <w:qFormat/>
    <w:uiPriority w:val="0"/>
    <w:rPr>
      <w:bdr w:val="single" w:color="5ABD6B" w:sz="4" w:space="0"/>
      <w:shd w:val="clear" w:fill="BFF3C3"/>
    </w:rPr>
  </w:style>
  <w:style w:type="character" w:customStyle="1" w:styleId="58">
    <w:name w:val="current-node"/>
    <w:basedOn w:val="19"/>
    <w:qFormat/>
    <w:uiPriority w:val="0"/>
    <w:rPr>
      <w:bdr w:val="single" w:color="F5B87B" w:sz="4" w:space="0"/>
      <w:shd w:val="clear" w:fill="FFE8CC"/>
    </w:rPr>
  </w:style>
  <w:style w:type="character" w:customStyle="1" w:styleId="59">
    <w:name w:val="ant-select-tree-checkbox2"/>
    <w:basedOn w:val="19"/>
    <w:qFormat/>
    <w:uiPriority w:val="0"/>
  </w:style>
  <w:style w:type="character" w:customStyle="1" w:styleId="60">
    <w:name w:val="ant-tree-switcher10"/>
    <w:basedOn w:val="19"/>
    <w:qFormat/>
    <w:uiPriority w:val="0"/>
  </w:style>
  <w:style w:type="character" w:customStyle="1" w:styleId="61">
    <w:name w:val="ant-select-tree-switcher"/>
    <w:basedOn w:val="19"/>
    <w:qFormat/>
    <w:uiPriority w:val="0"/>
  </w:style>
  <w:style w:type="character" w:customStyle="1" w:styleId="62">
    <w:name w:val="ant-select-tree-iconele"/>
    <w:basedOn w:val="19"/>
    <w:qFormat/>
    <w:uiPriority w:val="0"/>
  </w:style>
  <w:style w:type="character" w:customStyle="1" w:styleId="63">
    <w:name w:val="ant-tree-iconele"/>
    <w:basedOn w:val="19"/>
    <w:qFormat/>
    <w:uiPriority w:val="0"/>
  </w:style>
  <w:style w:type="character" w:customStyle="1" w:styleId="64">
    <w:name w:val="hover34"/>
    <w:basedOn w:val="19"/>
    <w:qFormat/>
    <w:uiPriority w:val="0"/>
    <w:rPr>
      <w:color w:val="009DFF"/>
    </w:rPr>
  </w:style>
  <w:style w:type="character" w:customStyle="1" w:styleId="65">
    <w:name w:val="hover35"/>
    <w:basedOn w:val="19"/>
    <w:qFormat/>
    <w:uiPriority w:val="0"/>
    <w:rPr>
      <w:color w:val="009DFF"/>
    </w:rPr>
  </w:style>
  <w:style w:type="character" w:customStyle="1" w:styleId="66">
    <w:name w:val="button"/>
    <w:basedOn w:val="19"/>
    <w:qFormat/>
    <w:uiPriority w:val="0"/>
  </w:style>
  <w:style w:type="character" w:customStyle="1" w:styleId="67">
    <w:name w:val="button1"/>
    <w:basedOn w:val="19"/>
    <w:qFormat/>
    <w:uiPriority w:val="0"/>
  </w:style>
  <w:style w:type="character" w:customStyle="1" w:styleId="68">
    <w:name w:val="passed-node"/>
    <w:basedOn w:val="19"/>
    <w:qFormat/>
    <w:uiPriority w:val="0"/>
    <w:rPr>
      <w:bdr w:val="single" w:color="49A8D4" w:sz="4" w:space="0"/>
      <w:shd w:val="clear" w:fill="A9E3FF"/>
    </w:rPr>
  </w:style>
  <w:style w:type="character" w:customStyle="1" w:styleId="69">
    <w:name w:val="first-of-type"/>
    <w:basedOn w:val="19"/>
    <w:qFormat/>
    <w:uiPriority w:val="0"/>
    <w:rPr>
      <w:color w:val="FF0000"/>
    </w:rPr>
  </w:style>
  <w:style w:type="character" w:customStyle="1" w:styleId="70">
    <w:name w:val="first-of-type1"/>
    <w:basedOn w:val="19"/>
    <w:qFormat/>
    <w:uiPriority w:val="0"/>
    <w:rPr>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6421</Words>
  <Characters>6647</Characters>
  <Lines>64</Lines>
  <Paragraphs>18</Paragraphs>
  <TotalTime>37</TotalTime>
  <ScaleCrop>false</ScaleCrop>
  <LinksUpToDate>false</LinksUpToDate>
  <CharactersWithSpaces>6772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2025-10-01T06:03:00Z</dcterms:created>
  <dc:creator>k5981</dc:creator>
  <cp:lastModifiedBy>张敬</cp:lastModifiedBy>
  <dcterms:modified xsi:type="dcterms:W3CDTF">2025-12-24T07:52:26Z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FF56E8934A45465A8149A1F0761A49B3_13</vt:lpwstr>
  </property>
  <property fmtid="{D5CDD505-2E9C-101B-9397-08002B2CF9AE}" pid="4" name="KSOTemplateDocerSaveRecord">
    <vt:lpwstr>eyJoZGlkIjoiMzEwYmEzYTc1MjNiODJkMTJiNWZhNWJmYzczNjYyZjAiLCJ1c2VySWQiOiIxMzc0MzY4MTA2In0=</vt:lpwstr>
  </property>
</Properties>
</file>